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557E" w14:textId="77777777" w:rsidR="002A667F" w:rsidRDefault="002A667F" w:rsidP="002A667F">
      <w:pPr>
        <w:ind w:firstLine="708"/>
        <w:rPr>
          <w:rFonts w:cs="Times New Roman"/>
          <w:szCs w:val="24"/>
        </w:rPr>
      </w:pPr>
      <w:r w:rsidRPr="00D30694">
        <w:rPr>
          <w:rFonts w:cs="Times New Roman"/>
          <w:noProof/>
          <w:szCs w:val="24"/>
          <w:lang w:eastAsia="hr-HR"/>
        </w:rPr>
        <w:drawing>
          <wp:inline distT="0" distB="0" distL="0" distR="0" wp14:anchorId="5495C147" wp14:editId="450D01C5">
            <wp:extent cx="849163" cy="771525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94" cy="79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DAF1E" w14:textId="77777777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REPUBLIKA HRVATSKA</w:t>
      </w:r>
    </w:p>
    <w:p w14:paraId="559404EA" w14:textId="77777777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MEĐIMURSKA ŽUPANIJA</w:t>
      </w:r>
    </w:p>
    <w:p w14:paraId="2A8D57F4" w14:textId="77777777" w:rsidR="002A667F" w:rsidRPr="007A6BF8" w:rsidRDefault="002A667F" w:rsidP="002A667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>OSNOVNA ŠKOLA GORNJI MIHALJEVEC</w:t>
      </w:r>
    </w:p>
    <w:p w14:paraId="0B740868" w14:textId="77777777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 15, 40306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Macinec</w:t>
      </w:r>
      <w:proofErr w:type="spellEnd"/>
    </w:p>
    <w:p w14:paraId="7CBAA6E8" w14:textId="77777777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OIB: 46945704160</w:t>
      </w:r>
    </w:p>
    <w:p w14:paraId="27F98D61" w14:textId="3E15F5A2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KLASA: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 400-02/25</w:t>
      </w:r>
      <w:r w:rsidR="001D6B46" w:rsidRPr="007A6BF8">
        <w:rPr>
          <w:rFonts w:ascii="Times New Roman" w:hAnsi="Times New Roman" w:cs="Times New Roman"/>
          <w:sz w:val="24"/>
          <w:szCs w:val="24"/>
        </w:rPr>
        <w:t>-01/03</w:t>
      </w:r>
    </w:p>
    <w:p w14:paraId="1719B724" w14:textId="2A2275B1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URBROJ: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 2109-29/25</w:t>
      </w:r>
      <w:r w:rsidR="001D6B46" w:rsidRPr="007A6BF8">
        <w:rPr>
          <w:rFonts w:ascii="Times New Roman" w:hAnsi="Times New Roman" w:cs="Times New Roman"/>
          <w:sz w:val="24"/>
          <w:szCs w:val="24"/>
        </w:rPr>
        <w:t>-01/2</w:t>
      </w:r>
    </w:p>
    <w:p w14:paraId="2BB18706" w14:textId="5BC40327" w:rsidR="002A667F" w:rsidRPr="007A6BF8" w:rsidRDefault="002A667F" w:rsidP="002A6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, </w:t>
      </w:r>
      <w:r w:rsidR="00641406" w:rsidRPr="007A6BF8">
        <w:rPr>
          <w:rFonts w:ascii="Times New Roman" w:hAnsi="Times New Roman" w:cs="Times New Roman"/>
          <w:sz w:val="24"/>
          <w:szCs w:val="24"/>
        </w:rPr>
        <w:t>10. studenoga 2025</w:t>
      </w:r>
      <w:r w:rsidRPr="007A6BF8">
        <w:rPr>
          <w:rFonts w:ascii="Times New Roman" w:hAnsi="Times New Roman" w:cs="Times New Roman"/>
          <w:sz w:val="24"/>
          <w:szCs w:val="24"/>
        </w:rPr>
        <w:t>.</w:t>
      </w:r>
    </w:p>
    <w:p w14:paraId="06BAEAC4" w14:textId="156FAE7B" w:rsidR="002A667F" w:rsidRPr="007A6BF8" w:rsidRDefault="002A667F" w:rsidP="002A6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B54B3" w14:textId="77777777" w:rsidR="00680694" w:rsidRPr="007A6BF8" w:rsidRDefault="00680694" w:rsidP="002A6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0BDF0" w14:textId="77777777" w:rsidR="00641406" w:rsidRPr="007A6BF8" w:rsidRDefault="00454F8B" w:rsidP="007E34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6B5CCE" w:rsidRPr="007A6BF8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</w:p>
    <w:p w14:paraId="0E9EB590" w14:textId="77777777" w:rsidR="00641406" w:rsidRPr="007A6BF8" w:rsidRDefault="00641406" w:rsidP="007E34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 xml:space="preserve">OSNOVNE ŠKOLE GORNJI MIHALJEVEC ZA 2026. </w:t>
      </w:r>
    </w:p>
    <w:p w14:paraId="375AB008" w14:textId="31F13C2F" w:rsidR="006B5CCE" w:rsidRPr="007A6BF8" w:rsidRDefault="00641406" w:rsidP="007E34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 xml:space="preserve">I PROJEKCIJE ZA 2027. I 2028. GODINU </w:t>
      </w:r>
    </w:p>
    <w:p w14:paraId="182FB64C" w14:textId="59E9073D" w:rsidR="009634F2" w:rsidRPr="001B7B72" w:rsidRDefault="009634F2" w:rsidP="001B7B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48A3C" w14:textId="1A0F9388" w:rsidR="00687762" w:rsidRPr="007A6BF8" w:rsidRDefault="009634F2" w:rsidP="00680694">
      <w:pPr>
        <w:pStyle w:val="Odlomakpopis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 xml:space="preserve">Sažetak djelokruga rada proračunskog korisnika </w:t>
      </w:r>
      <w:bookmarkStart w:id="0" w:name="_Hlk90500319"/>
    </w:p>
    <w:p w14:paraId="3C23E53F" w14:textId="77777777" w:rsidR="00680694" w:rsidRPr="007A6BF8" w:rsidRDefault="00680694" w:rsidP="00680694">
      <w:pPr>
        <w:pStyle w:val="Odlomakpopis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7D3DF" w14:textId="77777777" w:rsidR="00687762" w:rsidRPr="007A6BF8" w:rsidRDefault="00687762" w:rsidP="00C375CB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Školska zgrada OŠ Gornji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 izgrađena je 1962./63. godine. U zgradi je pet klasičnih učionica za predmetnu i razrednu nastavu, jedna specijalizirana učionica informatike i </w:t>
      </w:r>
      <w:bookmarkStart w:id="1" w:name="_Hlk90500666"/>
      <w:r w:rsidRPr="007A6BF8">
        <w:rPr>
          <w:rFonts w:ascii="Times New Roman" w:hAnsi="Times New Roman" w:cs="Times New Roman"/>
          <w:sz w:val="24"/>
          <w:szCs w:val="24"/>
        </w:rPr>
        <w:t>jedna djelomično specijalizirana učionica za nastavu kemije, biologije i glazbene kulture. U školi nema kabinete ni drugih pratećih prostorija (prijem roditelja, arhiva,…)</w:t>
      </w:r>
    </w:p>
    <w:bookmarkEnd w:id="1"/>
    <w:p w14:paraId="7917F510" w14:textId="77777777" w:rsidR="00687762" w:rsidRPr="007A6BF8" w:rsidRDefault="00687762" w:rsidP="00C375CB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Škola ima ured ravnatelja škole, tajnika i računovođe, ured pedagoga, zbornicu i knjižnicu. Školska kuhinja sa smočnicom je na katu kao i dio proširenog hodnika koji se koristi za blagovanje užine.</w:t>
      </w:r>
    </w:p>
    <w:p w14:paraId="27216BF6" w14:textId="69F65DF7" w:rsidR="00687762" w:rsidRPr="007A6BF8" w:rsidRDefault="00687762" w:rsidP="00C375C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Škola nema sportskih igrališta, ni sportske dvorane pa se nastava TZK-e izvodi  u maloj dvorani koja se nalazi u podrumsko</w:t>
      </w:r>
      <w:r w:rsidR="0039729E" w:rsidRPr="007A6BF8">
        <w:rPr>
          <w:rFonts w:ascii="Times New Roman" w:hAnsi="Times New Roman" w:cs="Times New Roman"/>
          <w:sz w:val="24"/>
          <w:szCs w:val="24"/>
        </w:rPr>
        <w:t>m dijelu zgrade i u</w:t>
      </w:r>
      <w:r w:rsidR="0016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CA">
        <w:rPr>
          <w:rFonts w:ascii="Times New Roman" w:hAnsi="Times New Roman" w:cs="Times New Roman"/>
          <w:sz w:val="24"/>
          <w:szCs w:val="24"/>
        </w:rPr>
        <w:t>najamskoj</w:t>
      </w:r>
      <w:proofErr w:type="spellEnd"/>
      <w:r w:rsidR="0039729E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dvorani Društvenog doma, a za vrijeme lijepog i</w:t>
      </w:r>
      <w:r w:rsidRPr="007A6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sušnog vremena nastava se o</w:t>
      </w:r>
      <w:r w:rsidR="001F3286" w:rsidRPr="007A6BF8">
        <w:rPr>
          <w:rFonts w:ascii="Times New Roman" w:hAnsi="Times New Roman" w:cs="Times New Roman"/>
          <w:sz w:val="24"/>
          <w:szCs w:val="24"/>
        </w:rPr>
        <w:t>država na sportskim terenima u Parku</w:t>
      </w:r>
      <w:r w:rsidRPr="007A6BF8">
        <w:rPr>
          <w:rFonts w:ascii="Times New Roman" w:hAnsi="Times New Roman" w:cs="Times New Roman"/>
          <w:sz w:val="24"/>
          <w:szCs w:val="24"/>
        </w:rPr>
        <w:t xml:space="preserve"> Mladost</w:t>
      </w:r>
      <w:r w:rsidR="001F3286" w:rsidRPr="007A6BF8">
        <w:rPr>
          <w:rFonts w:ascii="Times New Roman" w:hAnsi="Times New Roman" w:cs="Times New Roman"/>
          <w:sz w:val="24"/>
          <w:szCs w:val="24"/>
        </w:rPr>
        <w:t xml:space="preserve">i u Gornjem </w:t>
      </w:r>
      <w:proofErr w:type="spellStart"/>
      <w:r w:rsidR="001F3286" w:rsidRPr="007A6BF8">
        <w:rPr>
          <w:rFonts w:ascii="Times New Roman" w:hAnsi="Times New Roman" w:cs="Times New Roman"/>
          <w:sz w:val="24"/>
          <w:szCs w:val="24"/>
        </w:rPr>
        <w:t>Mihaljevcu</w:t>
      </w:r>
      <w:proofErr w:type="spellEnd"/>
      <w:r w:rsidRPr="007A6BF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8378DAA" w14:textId="14AFB763" w:rsidR="00687762" w:rsidRPr="007A6BF8" w:rsidRDefault="00687762" w:rsidP="00C375CB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Zbog pomanjkanja prostora škola radi u dvije smjene. U jednoj smjeni su učenici razredne nastave</w:t>
      </w:r>
      <w:r w:rsidR="00163DCA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(1.-4.raz.)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, a u drugoj učenici predmetne nastave</w:t>
      </w:r>
      <w:r w:rsidR="00516198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(5.-8.raz.),</w:t>
      </w:r>
      <w:r w:rsidR="00516198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 xml:space="preserve">tako da je postojeći prostor ispunjen u oba turnusa. Roditelji učenika razredne nastave zainteresirani su za produženi boravak djece u školi, ali zbog nedostatka prostora to nije moguće u školi organizirati. </w:t>
      </w:r>
      <w:bookmarkEnd w:id="0"/>
    </w:p>
    <w:p w14:paraId="16428FAC" w14:textId="47FC861F" w:rsidR="00687762" w:rsidRPr="007A6BF8" w:rsidRDefault="00687762" w:rsidP="00C375CB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Redovna, izborna, dodatna i dopunska nastava izvodi se prema nastavnim planovima i programima, koje je </w:t>
      </w:r>
      <w:r w:rsidR="001F3286" w:rsidRPr="007A6BF8">
        <w:rPr>
          <w:rFonts w:ascii="Times New Roman" w:hAnsi="Times New Roman" w:cs="Times New Roman"/>
          <w:sz w:val="24"/>
          <w:szCs w:val="24"/>
        </w:rPr>
        <w:t>donijelo Ministarstva znanosti, obrazovanja i mladih</w:t>
      </w:r>
      <w:r w:rsidR="00163DCA">
        <w:rPr>
          <w:rFonts w:ascii="Times New Roman" w:hAnsi="Times New Roman" w:cs="Times New Roman"/>
          <w:sz w:val="24"/>
          <w:szCs w:val="24"/>
        </w:rPr>
        <w:t>,</w:t>
      </w:r>
      <w:r w:rsidRPr="007A6BF8">
        <w:rPr>
          <w:rFonts w:ascii="Times New Roman" w:hAnsi="Times New Roman" w:cs="Times New Roman"/>
          <w:sz w:val="24"/>
          <w:szCs w:val="24"/>
        </w:rPr>
        <w:t xml:space="preserve"> Godišnjem planu i programu rada te Školskom kurikulumu.</w:t>
      </w:r>
    </w:p>
    <w:p w14:paraId="5E4E6B04" w14:textId="5A18F10F" w:rsidR="005745FD" w:rsidRPr="007A6BF8" w:rsidRDefault="00687762" w:rsidP="007A6BF8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U  školskoj godini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 2025./2026</w:t>
      </w:r>
      <w:r w:rsidRPr="007A6BF8">
        <w:rPr>
          <w:rFonts w:ascii="Times New Roman" w:hAnsi="Times New Roman" w:cs="Times New Roman"/>
          <w:sz w:val="24"/>
          <w:szCs w:val="24"/>
        </w:rPr>
        <w:t>., školu pol</w:t>
      </w:r>
      <w:r w:rsidR="00163DCA">
        <w:rPr>
          <w:rFonts w:ascii="Times New Roman" w:hAnsi="Times New Roman" w:cs="Times New Roman"/>
          <w:sz w:val="24"/>
          <w:szCs w:val="24"/>
        </w:rPr>
        <w:t xml:space="preserve">azi ukupno 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128 učenik u 9 </w:t>
      </w:r>
      <w:r w:rsidRPr="007A6BF8">
        <w:rPr>
          <w:rFonts w:ascii="Times New Roman" w:hAnsi="Times New Roman" w:cs="Times New Roman"/>
          <w:sz w:val="24"/>
          <w:szCs w:val="24"/>
        </w:rPr>
        <w:t>razrednih odjela</w:t>
      </w:r>
      <w:r w:rsidR="00163DCA">
        <w:rPr>
          <w:rFonts w:ascii="Times New Roman" w:hAnsi="Times New Roman" w:cs="Times New Roman"/>
          <w:sz w:val="24"/>
          <w:szCs w:val="24"/>
        </w:rPr>
        <w:t>.  U pet</w:t>
      </w:r>
      <w:r w:rsidRPr="007A6BF8">
        <w:rPr>
          <w:rFonts w:ascii="Times New Roman" w:hAnsi="Times New Roman" w:cs="Times New Roman"/>
          <w:sz w:val="24"/>
          <w:szCs w:val="24"/>
        </w:rPr>
        <w:t xml:space="preserve"> razredna </w:t>
      </w:r>
      <w:r w:rsidR="00641406" w:rsidRPr="007A6BF8">
        <w:rPr>
          <w:rFonts w:ascii="Times New Roman" w:hAnsi="Times New Roman" w:cs="Times New Roman"/>
          <w:sz w:val="24"/>
          <w:szCs w:val="24"/>
        </w:rPr>
        <w:t>odjela polazi 67</w:t>
      </w:r>
      <w:r w:rsidRPr="007A6BF8">
        <w:rPr>
          <w:rFonts w:ascii="Times New Roman" w:hAnsi="Times New Roman" w:cs="Times New Roman"/>
          <w:sz w:val="24"/>
          <w:szCs w:val="24"/>
        </w:rPr>
        <w:t xml:space="preserve"> učenika razredne nastave</w:t>
      </w:r>
      <w:r w:rsidR="00516198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 xml:space="preserve">(1.– 4.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>.), a u</w:t>
      </w:r>
      <w:r w:rsidR="00163DCA">
        <w:rPr>
          <w:rFonts w:ascii="Times New Roman" w:hAnsi="Times New Roman" w:cs="Times New Roman"/>
          <w:sz w:val="24"/>
          <w:szCs w:val="24"/>
        </w:rPr>
        <w:t xml:space="preserve"> preostalih četiri</w:t>
      </w:r>
      <w:r w:rsidR="00641406" w:rsidRPr="007A6BF8">
        <w:rPr>
          <w:rFonts w:ascii="Times New Roman" w:hAnsi="Times New Roman" w:cs="Times New Roman"/>
          <w:sz w:val="24"/>
          <w:szCs w:val="24"/>
        </w:rPr>
        <w:t xml:space="preserve"> razrednih odjela polazi 61 učenik</w:t>
      </w:r>
      <w:r w:rsidRPr="007A6BF8">
        <w:rPr>
          <w:rFonts w:ascii="Times New Roman" w:hAnsi="Times New Roman" w:cs="Times New Roman"/>
          <w:sz w:val="24"/>
          <w:szCs w:val="24"/>
        </w:rPr>
        <w:t xml:space="preserve"> predmetne nastave (5.–8.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>.). Većina učenika su učenici putnici za koje je or</w:t>
      </w:r>
      <w:r w:rsidR="00163DCA">
        <w:rPr>
          <w:rFonts w:ascii="Times New Roman" w:hAnsi="Times New Roman" w:cs="Times New Roman"/>
          <w:sz w:val="24"/>
          <w:szCs w:val="24"/>
        </w:rPr>
        <w:t>ganiziran</w:t>
      </w:r>
      <w:r w:rsidR="007A6BF8">
        <w:rPr>
          <w:rFonts w:ascii="Times New Roman" w:hAnsi="Times New Roman" w:cs="Times New Roman"/>
          <w:sz w:val="24"/>
          <w:szCs w:val="24"/>
        </w:rPr>
        <w:t xml:space="preserve"> autobusni prijevoz. </w:t>
      </w:r>
    </w:p>
    <w:p w14:paraId="2504D5C8" w14:textId="5584D7DB" w:rsidR="00C375CB" w:rsidRPr="007A6BF8" w:rsidRDefault="00C375CB" w:rsidP="00447A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CE365" w14:textId="1E89BB74" w:rsidR="009634F2" w:rsidRPr="00163DCA" w:rsidRDefault="009634F2" w:rsidP="00163DCA">
      <w:pPr>
        <w:pStyle w:val="Odlomakpopis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DC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="00163DCA" w:rsidRPr="00163DCA">
        <w:rPr>
          <w:rFonts w:ascii="Times New Roman" w:hAnsi="Times New Roman" w:cs="Times New Roman"/>
          <w:b/>
          <w:sz w:val="24"/>
          <w:szCs w:val="24"/>
        </w:rPr>
        <w:t xml:space="preserve"> programa rada školske ustanove</w:t>
      </w:r>
    </w:p>
    <w:p w14:paraId="2D7D4D89" w14:textId="77777777" w:rsidR="00163DCA" w:rsidRPr="00163DCA" w:rsidRDefault="00163DCA" w:rsidP="00163DCA">
      <w:pPr>
        <w:pStyle w:val="Odlomakpopis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C78C7" w14:textId="77777777" w:rsidR="00687762" w:rsidRPr="007A6BF8" w:rsidRDefault="00687762" w:rsidP="00687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Prioritet škole je kvalitetno obrazovanje i odgoj učenika osnovnoškolske dobi što ostvarujemo programskim sadržajima: </w:t>
      </w:r>
    </w:p>
    <w:p w14:paraId="4DD23106" w14:textId="1A87620B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unapređivanja metoda i organizacije rad</w:t>
      </w:r>
      <w:r w:rsidR="004E0FA2" w:rsidRPr="007A6BF8">
        <w:rPr>
          <w:rFonts w:ascii="Times New Roman" w:hAnsi="Times New Roman" w:cs="Times New Roman"/>
          <w:sz w:val="24"/>
          <w:szCs w:val="24"/>
        </w:rPr>
        <w:t>a u redovnoj i izbornoj nastavi</w:t>
      </w:r>
    </w:p>
    <w:p w14:paraId="13AF9F01" w14:textId="04CF4491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poticanjem učenike na kreativnost, razvijanje i izražavanje talenata</w:t>
      </w:r>
      <w:r w:rsidRPr="007A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 xml:space="preserve">kroz uključivanje u izvannastavne aktivnosti, dodatnu nastavu, školske projekte, natjecanja, literarne </w:t>
      </w:r>
      <w:r w:rsidR="00FC31DB" w:rsidRPr="007A6BF8">
        <w:rPr>
          <w:rFonts w:ascii="Times New Roman" w:hAnsi="Times New Roman" w:cs="Times New Roman"/>
          <w:sz w:val="24"/>
          <w:szCs w:val="24"/>
        </w:rPr>
        <w:t>i likovne natječaje, priredbe …</w:t>
      </w:r>
    </w:p>
    <w:p w14:paraId="5373AB73" w14:textId="77777777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osiguravanja potpore učenicima s poteškoćama u učenju kroz dopunsku nastavu, izradom individualnih i prilagođenih programa</w:t>
      </w:r>
    </w:p>
    <w:p w14:paraId="17853C90" w14:textId="77777777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promicanja brige za zdravlje i sigurnost kroz organizaciju mnogobrojnih sportskih aktivnosti, kao i uključivanjem u rad učeničke zadruge, liječničkim pregledima, edukacijskim predavanjima i programima usmjerenih na ovisnosti i dr.</w:t>
      </w:r>
    </w:p>
    <w:p w14:paraId="6D71155C" w14:textId="7188BBB2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opremanja u svrhu podizanja općeg peda</w:t>
      </w:r>
      <w:r w:rsidR="004E0FA2" w:rsidRPr="007A6BF8">
        <w:rPr>
          <w:rFonts w:ascii="Times New Roman" w:hAnsi="Times New Roman" w:cs="Times New Roman"/>
          <w:sz w:val="24"/>
          <w:szCs w:val="24"/>
        </w:rPr>
        <w:t>goškog standarda na višu razinu</w:t>
      </w:r>
    </w:p>
    <w:p w14:paraId="264D5B57" w14:textId="22D2E914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stručnog usavršavanja učitelja kroz sudjelovanje na seminarima, stručnim skupovima, aktivima na razini škole, županije i države te organiziranjem tematskih edukacija u školi, a sve u svrhu podizanjem nastavnog standarda na višu razinu i postizanja</w:t>
      </w:r>
      <w:r w:rsidR="004E0FA2" w:rsidRPr="007A6BF8">
        <w:rPr>
          <w:rFonts w:ascii="Times New Roman" w:hAnsi="Times New Roman" w:cs="Times New Roman"/>
          <w:sz w:val="24"/>
          <w:szCs w:val="24"/>
        </w:rPr>
        <w:t xml:space="preserve"> što boljeg uspjeha kod učenika</w:t>
      </w:r>
    </w:p>
    <w:p w14:paraId="00B5E842" w14:textId="6EE884AF" w:rsidR="00687762" w:rsidRPr="007A6BF8" w:rsidRDefault="00687762" w:rsidP="0068776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poticanja suradnje s širom zajednicom (lokalnom, regionalnom, međunar</w:t>
      </w:r>
      <w:r w:rsidR="004E0FA2" w:rsidRPr="007A6BF8">
        <w:rPr>
          <w:rFonts w:ascii="Times New Roman" w:hAnsi="Times New Roman" w:cs="Times New Roman"/>
          <w:sz w:val="24"/>
          <w:szCs w:val="24"/>
        </w:rPr>
        <w:t>odnom) kroz zajedničke projekte</w:t>
      </w:r>
    </w:p>
    <w:p w14:paraId="5D9BE2AC" w14:textId="77777777" w:rsidR="00687762" w:rsidRPr="007A6BF8" w:rsidRDefault="00687762" w:rsidP="00687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Pored toga škola realizira i druge programske sadržaje kao što je:</w:t>
      </w:r>
    </w:p>
    <w:p w14:paraId="4053D141" w14:textId="49A59D6E" w:rsidR="00687762" w:rsidRPr="007A6BF8" w:rsidRDefault="00687762" w:rsidP="0068776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briga za očuvanje okoliša (Akcije saku</w:t>
      </w:r>
      <w:r w:rsidR="004E0FA2" w:rsidRPr="007A6BF8">
        <w:rPr>
          <w:rFonts w:ascii="Times New Roman" w:hAnsi="Times New Roman" w:cs="Times New Roman"/>
          <w:sz w:val="24"/>
          <w:szCs w:val="24"/>
        </w:rPr>
        <w:t>pljanja sekundarnih sirovina …)</w:t>
      </w:r>
    </w:p>
    <w:p w14:paraId="6A8F77B6" w14:textId="69071748" w:rsidR="00687762" w:rsidRPr="007A6BF8" w:rsidRDefault="00687762" w:rsidP="0068776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razvijanje socijalne osjetljivosti za slabije i društvene tolerancije prema različitostima (rasnim, vj</w:t>
      </w:r>
      <w:r w:rsidR="004E0FA2" w:rsidRPr="007A6BF8">
        <w:rPr>
          <w:rFonts w:ascii="Times New Roman" w:hAnsi="Times New Roman" w:cs="Times New Roman"/>
          <w:sz w:val="24"/>
          <w:szCs w:val="24"/>
        </w:rPr>
        <w:t>erskim, nacionalnim, spolnim …)</w:t>
      </w:r>
    </w:p>
    <w:p w14:paraId="1CF07DCD" w14:textId="4C23DA54" w:rsidR="00687762" w:rsidRPr="007A6BF8" w:rsidRDefault="00687762" w:rsidP="00687762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očuvanja vlastite kulturne baštine i tradicije te potrebe očuvanja iste</w:t>
      </w:r>
      <w:r w:rsidR="004E0FA2" w:rsidRPr="007A6BF8">
        <w:rPr>
          <w:rFonts w:ascii="Times New Roman" w:hAnsi="Times New Roman" w:cs="Times New Roman"/>
          <w:sz w:val="24"/>
          <w:szCs w:val="24"/>
        </w:rPr>
        <w:t>.</w:t>
      </w:r>
    </w:p>
    <w:p w14:paraId="506E5660" w14:textId="449C104C" w:rsidR="00C375CB" w:rsidRDefault="00C375CB" w:rsidP="00105BEC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322A152B" w14:textId="77777777" w:rsidR="001B7B72" w:rsidRPr="007A6BF8" w:rsidRDefault="001B7B72" w:rsidP="00105BEC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7020C91D" w14:textId="0C157B60" w:rsidR="00DC1124" w:rsidRPr="007A6BF8" w:rsidRDefault="00105BEC" w:rsidP="007A6BF8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>Zakonske i druge podloge na kojima se zasnova program rada škole</w:t>
      </w:r>
    </w:p>
    <w:p w14:paraId="3E5456FE" w14:textId="77777777" w:rsidR="00105BEC" w:rsidRPr="007A6BF8" w:rsidRDefault="00105BEC" w:rsidP="00105BEC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A0A71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Zakon o odgoju i obrazovanju u osnovnoj i srednjoj školi, (NN 87/08, 86/09, 92/10, 105/10, 90/11, 5/12, 16/12, 86/12, 126/12, 94/13, 152/14, 07/17, 68/18, 98/19 i 64/20, 151/22, 155/23, 156/23)</w:t>
      </w:r>
    </w:p>
    <w:p w14:paraId="211F44D4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Zakon o ustanovama, (NN 76/93, 29/97, 47/99, 35/08, 127/19, 151/22)</w:t>
      </w:r>
    </w:p>
    <w:p w14:paraId="47A04033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Zakon o proračunu, (NN 144/21 )</w:t>
      </w:r>
      <w:r w:rsidRPr="00163D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4E4E7"/>
        </w:rPr>
        <w:t xml:space="preserve"> </w:t>
      </w:r>
    </w:p>
    <w:p w14:paraId="69CBAD6E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proračunskim klasifikacijama (NN 26/10, 120/13,1/20 i 4/24) </w:t>
      </w:r>
    </w:p>
    <w:p w14:paraId="45C94B0C" w14:textId="7E869F8A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Pravilnik o proračunskom računovodstvu i Računskom planu (NN 124/14, 115/15, 87/16, 3/18, 126/19, 108/20, 15/23)</w:t>
      </w:r>
    </w:p>
    <w:p w14:paraId="5650EF63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Zakon o fiskalnoj odgovornosti (NN 111/18 i 83/23)</w:t>
      </w:r>
    </w:p>
    <w:p w14:paraId="79FC959C" w14:textId="77777777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javnoj nabavi (NN 120/16 i 114/22)   </w:t>
      </w:r>
    </w:p>
    <w:p w14:paraId="6A046A0B" w14:textId="0B0A7453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Upute za izradu proračuna Međimurske </w:t>
      </w:r>
      <w:r w:rsidR="0003233E">
        <w:rPr>
          <w:rFonts w:ascii="Times New Roman" w:hAnsi="Times New Roman" w:cs="Times New Roman"/>
          <w:color w:val="000000" w:themeColor="text1"/>
          <w:sz w:val="24"/>
          <w:szCs w:val="24"/>
        </w:rPr>
        <w:t>županije za razdoblje 2026.-2028</w:t>
      </w: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(listopad 2025.) </w:t>
      </w:r>
    </w:p>
    <w:p w14:paraId="4665293F" w14:textId="25FC45B5" w:rsidR="002A2647" w:rsidRPr="00163DCA" w:rsidRDefault="002A2647" w:rsidP="002A264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Godišnji plan i program rada škole za šk. 2025./2026. godinu, Osnovne škole Gornji </w:t>
      </w:r>
      <w:proofErr w:type="spellStart"/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Mihaljevec</w:t>
      </w:r>
      <w:proofErr w:type="spellEnd"/>
    </w:p>
    <w:p w14:paraId="66E102D1" w14:textId="77CB08C2" w:rsidR="002A2647" w:rsidRDefault="002A2647" w:rsidP="007A6BF8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 </w:t>
      </w:r>
      <w:r w:rsidR="00032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Školski kurikulum za šk. 2025./2026</w:t>
      </w:r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godinu, Osnovne Škole Gornji </w:t>
      </w:r>
      <w:proofErr w:type="spellStart"/>
      <w:r w:rsidRPr="00163DCA">
        <w:rPr>
          <w:rFonts w:ascii="Times New Roman" w:hAnsi="Times New Roman" w:cs="Times New Roman"/>
          <w:color w:val="000000" w:themeColor="text1"/>
          <w:sz w:val="24"/>
          <w:szCs w:val="24"/>
        </w:rPr>
        <w:t>Mihaljevec</w:t>
      </w:r>
      <w:proofErr w:type="spellEnd"/>
    </w:p>
    <w:p w14:paraId="56B76EB0" w14:textId="5CBCD5AA" w:rsidR="001B7B72" w:rsidRDefault="001B7B72" w:rsidP="007A6BF8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D296B" w14:textId="3C9B6636" w:rsidR="001B7B72" w:rsidRPr="00163DCA" w:rsidRDefault="001B7B72" w:rsidP="007A6BF8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965F1" w14:textId="77777777" w:rsidR="007A6BF8" w:rsidRDefault="007A6BF8" w:rsidP="007A6BF8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36311" w14:textId="0D223437" w:rsidR="00E66E81" w:rsidRPr="007A6BF8" w:rsidRDefault="00E66E81" w:rsidP="007A6BF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015C7572" w14:textId="77777777" w:rsidR="00E66E81" w:rsidRPr="007A6BF8" w:rsidRDefault="00E66E81" w:rsidP="00E66E81">
      <w:pPr>
        <w:autoSpaceDE w:val="0"/>
        <w:autoSpaceDN w:val="0"/>
        <w:adjustRightInd w:val="0"/>
        <w:ind w:left="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3" w:type="dxa"/>
        <w:tblInd w:w="93" w:type="dxa"/>
        <w:tblLook w:val="04A0" w:firstRow="1" w:lastRow="0" w:firstColumn="1" w:lastColumn="0" w:noHBand="0" w:noVBand="1"/>
      </w:tblPr>
      <w:tblGrid>
        <w:gridCol w:w="4013"/>
        <w:gridCol w:w="1559"/>
        <w:gridCol w:w="1639"/>
        <w:gridCol w:w="1559"/>
        <w:gridCol w:w="1623"/>
      </w:tblGrid>
      <w:tr w:rsidR="00E66E81" w:rsidRPr="007A6BF8" w14:paraId="089038EA" w14:textId="77777777" w:rsidTr="007A6BF8">
        <w:trPr>
          <w:trHeight w:val="5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A0A" w14:textId="77777777" w:rsidR="00E66E81" w:rsidRPr="007A6BF8" w:rsidRDefault="00E66E8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13D" w14:textId="339CAFD1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0166C424" w14:textId="0767EBEA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A71" w:rsidRPr="007A6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9AC" w14:textId="77777777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51D455D9" w14:textId="295A97C3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A71" w:rsidRPr="007A6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D62" w14:textId="03885CC8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073A71" w:rsidRPr="007A6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837E" w14:textId="16CC1D6F" w:rsidR="00E66E81" w:rsidRPr="007A6BF8" w:rsidRDefault="00E66E81" w:rsidP="00105B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073A71" w:rsidRPr="007A6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E81" w:rsidRPr="007A6BF8" w14:paraId="63CE3499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2F11" w14:textId="3D17E604" w:rsidR="00E66E81" w:rsidRPr="007A6BF8" w:rsidRDefault="00E66E8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105BEC" w:rsidRPr="007A6BF8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72A6" w14:textId="1979F88C" w:rsidR="00E66E81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26.079,50 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0B1E" w14:textId="140D0E4C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17.850,00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5C4F" w14:textId="19DA8753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17.850,00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61771" w14:textId="7A08382C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17.850,00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E66E81" w:rsidRPr="007A6BF8" w14:paraId="74AAEBB2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B6A8" w14:textId="0B9EC757" w:rsidR="00E66E81" w:rsidRPr="007A6BF8" w:rsidRDefault="00E66E8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31 vlastiti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4C82" w14:textId="5761598B" w:rsidR="00E66E81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EC44" w14:textId="0D6C646F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320" w14:textId="7D67F7A6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AE75E" w14:textId="57CF00A8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E66E81" w:rsidRPr="007A6BF8" w14:paraId="6EEE8E82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F0E4" w14:textId="6EAF439E" w:rsidR="00E66E81" w:rsidRPr="007A6BF8" w:rsidRDefault="00073A7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="00E66E81" w:rsidRPr="007A6BF8">
              <w:rPr>
                <w:rFonts w:ascii="Times New Roman" w:hAnsi="Times New Roman" w:cs="Times New Roman"/>
                <w:sz w:val="24"/>
                <w:szCs w:val="24"/>
              </w:rPr>
              <w:t>osta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7A6BF8">
              <w:rPr>
                <w:rFonts w:ascii="Times New Roman" w:hAnsi="Times New Roman" w:cs="Times New Roman"/>
                <w:sz w:val="24"/>
                <w:szCs w:val="24"/>
              </w:rPr>
              <w:t xml:space="preserve">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43F3" w14:textId="7E711BBC" w:rsidR="00E66E81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4.052,00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BB69" w14:textId="5B5E6D16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3.450,00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87FA" w14:textId="5C8D4616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3.450,00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840D" w14:textId="12ABDC7D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3.450,00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E66E81" w:rsidRPr="007A6BF8" w14:paraId="0811F1A7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FC60" w14:textId="096C488C" w:rsidR="00E66E81" w:rsidRPr="007A6BF8" w:rsidRDefault="00073A7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52 ostale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BF1F" w14:textId="6BC77D0E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825.041,56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F6B4" w14:textId="3950E042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829.235,00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4DB4" w14:textId="031E9660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869.700,00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5C4F5" w14:textId="65A2BED9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869.700,00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E66E81" w:rsidRPr="007A6BF8" w14:paraId="02DC4A81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056E1" w14:textId="5607C20B" w:rsidR="00E66E81" w:rsidRPr="007A6BF8" w:rsidRDefault="00073A7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50 p</w:t>
            </w:r>
            <w:r w:rsidR="007A6BF8">
              <w:rPr>
                <w:rFonts w:ascii="Times New Roman" w:hAnsi="Times New Roman" w:cs="Times New Roman"/>
                <w:sz w:val="24"/>
                <w:szCs w:val="24"/>
              </w:rPr>
              <w:t>omoći iz državnog proračuna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CCF4" w14:textId="77777777" w:rsidR="00E66E81" w:rsidRPr="007A6BF8" w:rsidRDefault="00E66E8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96F6" w14:textId="20A82284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30.299,00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51FB" w14:textId="038B6F59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30.299,00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1D244" w14:textId="0C51B767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30.299,00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E66E81" w:rsidRPr="007A6BF8" w14:paraId="2FE6D360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FB7F" w14:textId="57DE4C3B" w:rsidR="00E66E81" w:rsidRPr="007A6BF8" w:rsidRDefault="00073A71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56 fondovi EU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1FAA" w14:textId="58A3076A" w:rsidR="00E66E81" w:rsidRPr="007A6BF8" w:rsidRDefault="00E66E8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9625" w14:textId="67467148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31.743,00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FE09" w14:textId="0A7A3FA6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31.743,00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044A8" w14:textId="7D591112" w:rsidR="00E66E81" w:rsidRPr="007A6BF8" w:rsidRDefault="00073A71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31.743,00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05BEC" w:rsidRPr="007A6BF8" w14:paraId="3C7D8435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4449" w14:textId="49ADB69B" w:rsidR="00105BEC" w:rsidRPr="007A6BF8" w:rsidRDefault="00105BEC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44 decentralizirana sred</w:t>
            </w:r>
            <w:r w:rsidR="00FD5A63" w:rsidRPr="007A6B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97FD" w14:textId="6AFE2C56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45.998,00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74F1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0596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22A2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EC" w:rsidRPr="007A6BF8" w14:paraId="710D44B2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8F3C5" w14:textId="43BC3FD5" w:rsidR="00105BEC" w:rsidRPr="007A6BF8" w:rsidRDefault="00105BEC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51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BFA8" w14:textId="37E92DCB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35.567,00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69DE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61AF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B501C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EC" w:rsidRPr="007A6BF8" w14:paraId="576F4931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14A7" w14:textId="4CA9F181" w:rsidR="00105BEC" w:rsidRPr="007A6BF8" w:rsidRDefault="00105BEC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61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0EDA" w14:textId="6F7252FF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2.220,00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A646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A68C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2F78B" w14:textId="77777777" w:rsidR="00105BEC" w:rsidRPr="007A6BF8" w:rsidRDefault="00105BEC" w:rsidP="007A6BF8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1" w:rsidRPr="007A6BF8" w14:paraId="519FDA3C" w14:textId="77777777" w:rsidTr="007A6BF8">
        <w:trPr>
          <w:trHeight w:val="277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18E7" w14:textId="77777777" w:rsidR="003F5FC8" w:rsidRDefault="003F5FC8" w:rsidP="00C44F72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C48B" w14:textId="56D1EC07" w:rsidR="003F5FC8" w:rsidRPr="007A6BF8" w:rsidRDefault="00E66E81" w:rsidP="003F5FC8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EAF3" w14:textId="3A60C523" w:rsidR="00E66E81" w:rsidRPr="007A6BF8" w:rsidRDefault="00105BEC" w:rsidP="007A6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938.984,06</w:t>
            </w:r>
            <w:r w:rsidR="002C64F6"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00B" w14:textId="355B0FE7" w:rsidR="00E66E81" w:rsidRPr="007A6BF8" w:rsidRDefault="00073A71" w:rsidP="007A6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912.627,00</w:t>
            </w:r>
            <w:r w:rsidR="002C64F6"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51E6" w14:textId="0FC9EBBA" w:rsidR="00E66E81" w:rsidRPr="007A6BF8" w:rsidRDefault="00073A71" w:rsidP="007A6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953.092,00</w:t>
            </w:r>
            <w:r w:rsidR="002C64F6"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BE78" w14:textId="1758692B" w:rsidR="00E66E81" w:rsidRPr="007A6BF8" w:rsidRDefault="00073A71" w:rsidP="007A6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953.092,00</w:t>
            </w:r>
            <w:r w:rsidR="002C64F6"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4F6"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3427F1EB" w14:textId="0CC3AC3E" w:rsidR="0052166D" w:rsidRDefault="0052166D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49B384CA" w14:textId="29F96598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5FBB3D3A" w14:textId="7B5F996E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1D8E06AD" w14:textId="618A04F5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06ED0EAA" w14:textId="0AA7AAF5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5D561D31" w14:textId="715B595E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58807012" w14:textId="52BF5B8E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12282843" w14:textId="72883F65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6FF4F8C7" w14:textId="2047DFA7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005BCB62" w14:textId="3398C996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077A46E7" w14:textId="05C3D6F7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451A7090" w14:textId="4D5D1136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066A273A" w14:textId="1C126195" w:rsid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08366234" w14:textId="77777777" w:rsidR="007A6BF8" w:rsidRPr="007A6BF8" w:rsidRDefault="007A6BF8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3B26D129" w14:textId="183755D2" w:rsidR="00AC113D" w:rsidRPr="007A6BF8" w:rsidRDefault="00447AD8" w:rsidP="007A6BF8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C113D" w:rsidRPr="007A6BF8">
        <w:rPr>
          <w:rFonts w:ascii="Times New Roman" w:hAnsi="Times New Roman" w:cs="Times New Roman"/>
          <w:b/>
          <w:sz w:val="24"/>
          <w:szCs w:val="24"/>
        </w:rPr>
        <w:t>Daje se pregled financijskih sredstava po programima:</w:t>
      </w:r>
    </w:p>
    <w:p w14:paraId="76A91526" w14:textId="77777777" w:rsidR="0052166D" w:rsidRPr="007A6BF8" w:rsidRDefault="0052166D" w:rsidP="0052166D">
      <w:pPr>
        <w:pStyle w:val="Odlomakpopisa"/>
        <w:ind w:left="17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418"/>
        <w:gridCol w:w="1417"/>
        <w:gridCol w:w="1418"/>
      </w:tblGrid>
      <w:tr w:rsidR="0052166D" w:rsidRPr="007A6BF8" w14:paraId="640CF356" w14:textId="77777777" w:rsidTr="003F5FC8">
        <w:trPr>
          <w:trHeight w:val="1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268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682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Proračun </w:t>
            </w:r>
          </w:p>
          <w:p w14:paraId="04F0C432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2E9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</w:t>
            </w:r>
          </w:p>
          <w:p w14:paraId="4BB07695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05F9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051C" w14:textId="77777777" w:rsidR="0052166D" w:rsidRPr="007A6BF8" w:rsidRDefault="0052166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2028.</w:t>
            </w:r>
          </w:p>
        </w:tc>
      </w:tr>
      <w:tr w:rsidR="0052166D" w:rsidRPr="007A6BF8" w14:paraId="3B224F56" w14:textId="77777777" w:rsidTr="003F5FC8">
        <w:trPr>
          <w:trHeight w:val="7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274C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</w:p>
          <w:p w14:paraId="35506E85" w14:textId="36C488CD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Školstvo; decentralizirana sredstva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AF9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47.800,50 €</w:t>
            </w:r>
          </w:p>
          <w:p w14:paraId="2027F750" w14:textId="77777777" w:rsidR="0052166D" w:rsidRPr="007A6BF8" w:rsidRDefault="0052166D" w:rsidP="00163D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7E45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14:paraId="29C3FE7A" w14:textId="77777777" w:rsidR="0052166D" w:rsidRPr="007A6BF8" w:rsidRDefault="0052166D" w:rsidP="00163D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6E4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14:paraId="0EDA77FE" w14:textId="77777777" w:rsidR="0052166D" w:rsidRPr="007A6BF8" w:rsidRDefault="0052166D" w:rsidP="00163DC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9F29C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14:paraId="401D325F" w14:textId="77777777" w:rsidR="0052166D" w:rsidRPr="007A6BF8" w:rsidRDefault="0052166D" w:rsidP="00163DC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66D" w:rsidRPr="007A6BF8" w14:paraId="4C52B271" w14:textId="77777777" w:rsidTr="003F5FC8">
        <w:trPr>
          <w:trHeight w:val="8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7481" w14:textId="77777777" w:rsidR="0052166D" w:rsidRPr="007A6BF8" w:rsidRDefault="0052166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FAB" w14:textId="77777777" w:rsidR="0052166D" w:rsidRPr="007A6BF8" w:rsidRDefault="0052166D" w:rsidP="0016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47.800,50 €</w:t>
            </w:r>
          </w:p>
          <w:p w14:paraId="15EB75EA" w14:textId="77777777" w:rsidR="0052166D" w:rsidRPr="007A6BF8" w:rsidRDefault="0052166D" w:rsidP="0016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4FFA" w14:textId="77777777" w:rsidR="0052166D" w:rsidRPr="007A6BF8" w:rsidRDefault="0052166D" w:rsidP="0016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14:paraId="6A63E59C" w14:textId="77777777" w:rsidR="0052166D" w:rsidRPr="007A6BF8" w:rsidRDefault="0052166D" w:rsidP="00163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FEE" w14:textId="77777777" w:rsidR="0052166D" w:rsidRPr="007A6BF8" w:rsidRDefault="0052166D" w:rsidP="00163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14:paraId="00DA536A" w14:textId="77777777" w:rsidR="0052166D" w:rsidRPr="007A6BF8" w:rsidRDefault="0052166D" w:rsidP="00163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EB497" w14:textId="77777777" w:rsidR="0052166D" w:rsidRPr="007A6BF8" w:rsidRDefault="0052166D" w:rsidP="0016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37.997,00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14:paraId="7922EFB4" w14:textId="77777777" w:rsidR="0052166D" w:rsidRPr="007A6BF8" w:rsidRDefault="0052166D" w:rsidP="00163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C879DAF" w14:textId="4B9268A5" w:rsidR="000C6247" w:rsidRDefault="000C6247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C568E4" w14:textId="77777777" w:rsidR="003F5FC8" w:rsidRPr="007A6BF8" w:rsidRDefault="003F5FC8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7A6BF8" w14:paraId="79F4A92C" w14:textId="77777777" w:rsidTr="009E2346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EC53"/>
            <w:noWrap/>
            <w:hideMark/>
          </w:tcPr>
          <w:p w14:paraId="0B639D94" w14:textId="77777777" w:rsidR="00115596" w:rsidRPr="007A6BF8" w:rsidRDefault="0094009E" w:rsidP="001155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PROGRAM</w:t>
            </w:r>
            <w:r w:rsidR="00EE01FE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="004135E4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: </w:t>
            </w:r>
            <w:r w:rsidR="00115596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ŠKOLSTVO</w:t>
            </w:r>
          </w:p>
          <w:p w14:paraId="7D81082E" w14:textId="753EF6BB" w:rsidR="003E2D5C" w:rsidRPr="007A6BF8" w:rsidRDefault="00115596" w:rsidP="001155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Aktivnost: Osnovno školstvo </w:t>
            </w:r>
            <w:r w:rsidR="00FD5A63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- </w:t>
            </w: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decentralizirana sredstva</w:t>
            </w:r>
            <w:r w:rsidR="003E2D5C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  <w:p w14:paraId="504340EE" w14:textId="52B0A07B" w:rsidR="00834C75" w:rsidRPr="007A6BF8" w:rsidRDefault="00834C75" w:rsidP="001155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Aktivnost: Energenti za osnovne škole</w:t>
            </w:r>
            <w:r w:rsidR="00FD5A63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decentralizirana sredstva</w:t>
            </w:r>
          </w:p>
          <w:p w14:paraId="69B904A9" w14:textId="0BDA45D4" w:rsidR="00834C75" w:rsidRPr="007A6BF8" w:rsidRDefault="00834C75" w:rsidP="001155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Aktivnost: Investicijsko održavanje za osnovne škole</w:t>
            </w:r>
            <w:r w:rsidR="00FD5A63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decentralizirana sredstva</w:t>
            </w:r>
          </w:p>
        </w:tc>
      </w:tr>
      <w:tr w:rsidR="000C6247" w:rsidRPr="007A6BF8" w14:paraId="52DC4965" w14:textId="77777777" w:rsidTr="00834C75">
        <w:trPr>
          <w:trHeight w:val="1608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C751" w14:textId="77777777" w:rsidR="00163DCA" w:rsidRDefault="000C6247" w:rsidP="0083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 w:rsidR="00687762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AFEC3" w14:textId="3BB32947" w:rsidR="000C6247" w:rsidRPr="007A6BF8" w:rsidRDefault="00687762" w:rsidP="00834C7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Visinu sredstava planirani</w:t>
            </w:r>
            <w:r w:rsidR="004135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za ovaj program određuje Međimurska županija</w:t>
            </w:r>
            <w:r w:rsidR="00032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2" w:name="_GoBack"/>
            <w:bookmarkEnd w:id="2"/>
            <w:r w:rsidR="00834C7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a u razini su ove tekuće godine, </w:t>
            </w:r>
            <w:r w:rsidR="004135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koriste se za pokriće </w:t>
            </w:r>
            <w:r w:rsidR="0011559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materijalnih i financijskih </w:t>
            </w:r>
            <w:r w:rsidR="004135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rashoda </w:t>
            </w:r>
            <w:r w:rsidR="0011559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poslovanja </w:t>
            </w:r>
            <w:r w:rsidR="00FD5A63" w:rsidRPr="007A6BF8">
              <w:rPr>
                <w:rFonts w:ascii="Times New Roman" w:hAnsi="Times New Roman" w:cs="Times New Roman"/>
                <w:sz w:val="24"/>
                <w:szCs w:val="24"/>
              </w:rPr>
              <w:t>, mater</w:t>
            </w:r>
            <w:r w:rsidR="00834C75" w:rsidRPr="007A6B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D5A63" w:rsidRPr="007A6BF8">
              <w:rPr>
                <w:rFonts w:ascii="Times New Roman" w:hAnsi="Times New Roman" w:cs="Times New Roman"/>
                <w:sz w:val="24"/>
                <w:szCs w:val="24"/>
              </w:rPr>
              <w:t>jal i  usluge</w:t>
            </w:r>
            <w:r w:rsidR="00834C7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tekućeg investicijskog održavanja </w:t>
            </w:r>
            <w:r w:rsidR="00FD5A63" w:rsidRPr="007A6BF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834C7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za energente. </w:t>
            </w:r>
            <w:r w:rsidR="00115596" w:rsidRPr="007A6BF8">
              <w:rPr>
                <w:rFonts w:ascii="Times New Roman" w:hAnsi="Times New Roman" w:cs="Times New Roman"/>
                <w:sz w:val="24"/>
                <w:szCs w:val="24"/>
              </w:rPr>
              <w:t>Sredstva se financiraju iz izvora 110004- Opći prihodi i primici u omjeru 35% , te iz izvora</w:t>
            </w:r>
            <w:r w:rsidR="00FD5A63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5011002</w:t>
            </w:r>
            <w:r w:rsidR="0011559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 </w:t>
            </w:r>
            <w:r w:rsidR="00834C7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kroz opće prihode i primitke </w:t>
            </w:r>
            <w:r w:rsidR="0011559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u preostalom omjeru od 65%. </w:t>
            </w:r>
            <w:r w:rsidR="004135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D5C" w:rsidRPr="007A6BF8" w14:paraId="46201C7E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829E0" w14:textId="23F7AAED" w:rsidR="002B49B5" w:rsidRPr="007A6BF8" w:rsidRDefault="002F7429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</w:t>
            </w:r>
            <w:r w:rsidR="00A445E2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ovedbe programa u razdoblju 202</w:t>
            </w:r>
            <w:r w:rsidR="008203AE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.-20</w:t>
            </w:r>
            <w:r w:rsidR="00A445E2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8203AE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8.</w:t>
            </w:r>
          </w:p>
          <w:p w14:paraId="10DB3F82" w14:textId="36A68193" w:rsidR="0094009E" w:rsidRPr="007A6BF8" w:rsidRDefault="004135E4" w:rsidP="00163D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Prilikom izrade plan</w:t>
            </w:r>
            <w:r w:rsidR="008203AE" w:rsidRPr="007A6BF8">
              <w:rPr>
                <w:rFonts w:ascii="Times New Roman" w:hAnsi="Times New Roman" w:cs="Times New Roman"/>
                <w:sz w:val="24"/>
                <w:szCs w:val="24"/>
              </w:rPr>
              <w:t>a najprije su planirani troškovi za energente (električna energija, plin) te za materijalne troškove kao što su uredski materijal, materijal za održavanje, sitni inventar,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DCA">
              <w:rPr>
                <w:rFonts w:ascii="Times New Roman" w:hAnsi="Times New Roman" w:cs="Times New Roman"/>
                <w:sz w:val="24"/>
                <w:szCs w:val="24"/>
              </w:rPr>
              <w:t xml:space="preserve">službena putovanja,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voda, komunalne usluge, telefon i internet, pedagoška dok</w:t>
            </w:r>
            <w:r w:rsidR="00687762" w:rsidRPr="007A6BF8">
              <w:rPr>
                <w:rFonts w:ascii="Times New Roman" w:hAnsi="Times New Roman" w:cs="Times New Roman"/>
                <w:sz w:val="24"/>
                <w:szCs w:val="24"/>
              </w:rPr>
              <w:t>umentacija, nastavni materijali</w:t>
            </w:r>
            <w:r w:rsidR="0016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koji se planiraju na osnovu potrošnje tekuće godine, a zatim ostali troškovi prema prioritetima funkcioniranja škole.</w:t>
            </w:r>
            <w:r w:rsidR="005745FD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8F1E570" w14:textId="77777777" w:rsidR="00C375CB" w:rsidRPr="007A6BF8" w:rsidRDefault="00C375CB" w:rsidP="005C2299">
      <w:pPr>
        <w:rPr>
          <w:rFonts w:ascii="Times New Roman" w:hAnsi="Times New Roman" w:cs="Times New Roman"/>
          <w:b/>
          <w:sz w:val="24"/>
          <w:szCs w:val="24"/>
        </w:rPr>
      </w:pPr>
    </w:p>
    <w:p w14:paraId="748746E6" w14:textId="39A1FACA" w:rsidR="001A1683" w:rsidRDefault="001A1683" w:rsidP="00C375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61EDCEC" w14:textId="40A4C91D" w:rsidR="003F5FC8" w:rsidRDefault="003F5FC8" w:rsidP="00C375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CC433B5" w14:textId="41BD94C2" w:rsidR="003F5FC8" w:rsidRDefault="003F5FC8" w:rsidP="00C375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1009B1D" w14:textId="744B26A5" w:rsidR="003F5FC8" w:rsidRDefault="003F5FC8" w:rsidP="00C375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9C617EE" w14:textId="30DCE1AB" w:rsidR="003F5FC8" w:rsidRPr="007A6BF8" w:rsidRDefault="003F5FC8" w:rsidP="00C375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2FBE775" w14:textId="17321E5A" w:rsidR="00447AD8" w:rsidRPr="003F5FC8" w:rsidRDefault="00447AD8" w:rsidP="003F5FC8">
      <w:pPr>
        <w:pStyle w:val="Odlomakpopisa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3F5FC8">
        <w:rPr>
          <w:rFonts w:ascii="Times New Roman" w:hAnsi="Times New Roman" w:cs="Times New Roman"/>
          <w:b/>
          <w:sz w:val="24"/>
          <w:szCs w:val="24"/>
        </w:rPr>
        <w:lastRenderedPageBreak/>
        <w:t>2. Daje se pregled financijskih sredstava po programima:</w:t>
      </w:r>
    </w:p>
    <w:p w14:paraId="18B564BC" w14:textId="77777777" w:rsidR="003F5FC8" w:rsidRPr="003F5FC8" w:rsidRDefault="003F5FC8" w:rsidP="003F5FC8">
      <w:pPr>
        <w:pStyle w:val="Odlomakpopisa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1"/>
        <w:gridCol w:w="1509"/>
        <w:gridCol w:w="1565"/>
        <w:gridCol w:w="1565"/>
        <w:gridCol w:w="1635"/>
      </w:tblGrid>
      <w:tr w:rsidR="003F5FC8" w:rsidRPr="007A6BF8" w14:paraId="0FD59C20" w14:textId="77777777" w:rsidTr="003F5FC8">
        <w:trPr>
          <w:trHeight w:val="82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9D1" w14:textId="77777777" w:rsidR="003F5FC8" w:rsidRPr="007A6BF8" w:rsidRDefault="003F5FC8" w:rsidP="003F5F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iz Proračuna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59D6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Proračun </w:t>
            </w:r>
          </w:p>
          <w:p w14:paraId="36DD4873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838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</w:t>
            </w:r>
          </w:p>
          <w:p w14:paraId="1546B162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BCD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2027.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115" w14:textId="77777777" w:rsidR="003F5FC8" w:rsidRPr="007A6BF8" w:rsidRDefault="003F5FC8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2028.</w:t>
            </w:r>
          </w:p>
        </w:tc>
      </w:tr>
      <w:tr w:rsidR="003F5FC8" w:rsidRPr="007A6BF8" w14:paraId="6CF4565E" w14:textId="77777777" w:rsidTr="003F5FC8">
        <w:trPr>
          <w:trHeight w:val="116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3718" w14:textId="77777777" w:rsidR="003F5FC8" w:rsidRPr="007A6BF8" w:rsidRDefault="003F5FC8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Program  </w:t>
            </w:r>
          </w:p>
          <w:p w14:paraId="11F5416E" w14:textId="751C2512" w:rsidR="003F5FC8" w:rsidRPr="007A6BF8" w:rsidRDefault="003F5FC8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Školstvo; Rashodi za zaposlene i ostali r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ashodi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C4CC" w14:textId="77777777" w:rsidR="003F5FC8" w:rsidRPr="007A6BF8" w:rsidRDefault="003F5FC8" w:rsidP="003F5F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832.119,21 €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838C" w14:textId="77777777" w:rsidR="003F5FC8" w:rsidRPr="007A6BF8" w:rsidRDefault="003F5FC8" w:rsidP="003F5F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832.735,00 €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8FF6" w14:textId="77777777" w:rsidR="003F5FC8" w:rsidRPr="007A6BF8" w:rsidRDefault="003F5FC8" w:rsidP="003F5F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873.200,00 €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C52F" w14:textId="77777777" w:rsidR="003F5FC8" w:rsidRPr="007A6BF8" w:rsidRDefault="003F5FC8" w:rsidP="003F5F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873.200,00 €</w:t>
            </w:r>
          </w:p>
        </w:tc>
      </w:tr>
      <w:tr w:rsidR="003F5FC8" w:rsidRPr="007A6BF8" w14:paraId="07A0C941" w14:textId="77777777" w:rsidTr="007B2A3C">
        <w:trPr>
          <w:trHeight w:val="761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3A1F" w14:textId="77777777" w:rsidR="003F5FC8" w:rsidRPr="007A6BF8" w:rsidRDefault="003F5FC8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BFB6" w14:textId="77777777" w:rsidR="003F5FC8" w:rsidRPr="007A6BF8" w:rsidRDefault="003F5FC8" w:rsidP="007B2A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832.119,21 €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53C1" w14:textId="77777777" w:rsidR="003F5FC8" w:rsidRPr="007A6BF8" w:rsidRDefault="003F5FC8" w:rsidP="007B2A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832.735,00 €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427" w14:textId="77777777" w:rsidR="003F5FC8" w:rsidRPr="007A6BF8" w:rsidRDefault="003F5FC8" w:rsidP="007B2A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873.200,00 €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D2A4" w14:textId="0657B390" w:rsidR="003F5FC8" w:rsidRPr="007A6BF8" w:rsidRDefault="003F5FC8" w:rsidP="007B2A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873.200,00 €</w:t>
            </w:r>
          </w:p>
        </w:tc>
      </w:tr>
    </w:tbl>
    <w:p w14:paraId="72788A2C" w14:textId="68E5A62B" w:rsidR="009634F2" w:rsidRPr="007A6BF8" w:rsidRDefault="009634F2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9634F2" w:rsidRPr="007A6BF8" w14:paraId="2E03984A" w14:textId="77777777" w:rsidTr="009E2346">
        <w:trPr>
          <w:trHeight w:val="259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EC53"/>
            <w:noWrap/>
            <w:hideMark/>
          </w:tcPr>
          <w:p w14:paraId="2832391C" w14:textId="77777777" w:rsidR="009826E4" w:rsidRPr="007A6BF8" w:rsidRDefault="00EE01FE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 w:rsidR="009634F2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: </w:t>
            </w:r>
            <w:r w:rsidR="009826E4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ŠKOLSTVO</w:t>
            </w:r>
          </w:p>
          <w:p w14:paraId="1559B864" w14:textId="1746BCDF" w:rsidR="009634F2" w:rsidRPr="007A6BF8" w:rsidRDefault="009826E4" w:rsidP="009826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Aktivnost: Ostali izdaci za osnovne škole </w:t>
            </w:r>
          </w:p>
        </w:tc>
      </w:tr>
      <w:tr w:rsidR="009634F2" w:rsidRPr="007A6BF8" w14:paraId="2F124390" w14:textId="77777777" w:rsidTr="00907786">
        <w:trPr>
          <w:trHeight w:val="560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5C53" w14:textId="77777777" w:rsidR="007B2A3C" w:rsidRDefault="009634F2" w:rsidP="007E3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89528" w14:textId="2DAF2A3E" w:rsidR="005040E5" w:rsidRPr="007A6BF8" w:rsidRDefault="002B49B5" w:rsidP="007E3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Pretežiti dio sredstava planiranih ovim programom odnosi se na prihode iz državnog proračuna kojima se financiraj</w:t>
            </w:r>
            <w:r w:rsidR="005040E5" w:rsidRPr="007A6BF8">
              <w:rPr>
                <w:rFonts w:ascii="Times New Roman" w:hAnsi="Times New Roman" w:cs="Times New Roman"/>
                <w:sz w:val="24"/>
                <w:szCs w:val="24"/>
              </w:rPr>
              <w:t>u rashodi za zaposlene (plaće, doprinosi na zdravstveno, prijevoz, materijalna prava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40E5"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5E90F" w14:textId="0A7E7CDB" w:rsidR="009634F2" w:rsidRPr="007A6BF8" w:rsidRDefault="00516198" w:rsidP="007E3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Te za 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financiranje prehrane, </w:t>
            </w:r>
            <w:r w:rsidR="007E1FF2" w:rsidRPr="007A6BF8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€ po danu za učenika. U našoj</w:t>
            </w:r>
            <w:r w:rsidR="009826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Školi se hrane svi učenici (128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E1380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E41E1A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vdje su planirani </w:t>
            </w:r>
            <w:r w:rsidR="009826E4" w:rsidRPr="007A6BF8">
              <w:rPr>
                <w:rFonts w:ascii="Times New Roman" w:hAnsi="Times New Roman" w:cs="Times New Roman"/>
                <w:sz w:val="24"/>
                <w:szCs w:val="24"/>
              </w:rPr>
              <w:t>radni i trajni udžbenici za 2026./2027</w:t>
            </w:r>
            <w:r w:rsidR="00E41E1A" w:rsidRPr="007A6BF8">
              <w:rPr>
                <w:rFonts w:ascii="Times New Roman" w:hAnsi="Times New Roman" w:cs="Times New Roman"/>
                <w:sz w:val="24"/>
                <w:szCs w:val="24"/>
              </w:rPr>
              <w:t>. školsku godinu.</w:t>
            </w:r>
          </w:p>
          <w:p w14:paraId="236D95DB" w14:textId="77777777" w:rsidR="009826E4" w:rsidRPr="007A6BF8" w:rsidRDefault="009826E4" w:rsidP="007E3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Pod ovom aktivnošću ubrajamo još Vlastite prihode (31) Učeničke zadruge u iznosu od 50,00 eura.</w:t>
            </w:r>
          </w:p>
          <w:p w14:paraId="5AF61F0E" w14:textId="119D05B3" w:rsidR="009826E4" w:rsidRPr="003F5FC8" w:rsidRDefault="009826E4" w:rsidP="003F5F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Ostale p</w:t>
            </w:r>
            <w:r w:rsidR="005040E5" w:rsidRPr="007A6BF8">
              <w:rPr>
                <w:rFonts w:ascii="Times New Roman" w:hAnsi="Times New Roman" w:cs="Times New Roman"/>
                <w:sz w:val="24"/>
                <w:szCs w:val="24"/>
              </w:rPr>
              <w:t>rihode za posebne namjene (43),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koji obuhvaćaju prihode od sufinanciranja roditelja, osiguranja učenika, fotografiranje, terenskih nastava, izleta učenika, ispita i dr. učeničkih potreba koji se</w:t>
            </w:r>
            <w:r w:rsidR="003F5FC8">
              <w:rPr>
                <w:rFonts w:ascii="Times New Roman" w:hAnsi="Times New Roman" w:cs="Times New Roman"/>
                <w:sz w:val="24"/>
                <w:szCs w:val="24"/>
              </w:rPr>
              <w:t xml:space="preserve"> u potpunosti namjenski utroše</w:t>
            </w:r>
            <w:r w:rsidR="007B2A3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F5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4F2" w:rsidRPr="007A6BF8" w14:paraId="37ACBA85" w14:textId="77777777" w:rsidTr="00907786">
        <w:trPr>
          <w:trHeight w:val="568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AE2779" w14:textId="1F2387FA" w:rsidR="009634F2" w:rsidRPr="007A6BF8" w:rsidRDefault="009634F2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</w:t>
            </w:r>
            <w:r w:rsidR="007B2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ovedbe programa u razdoblju 2026.-2028</w:t>
            </w: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81B74EE" w14:textId="74AE635F" w:rsidR="009634F2" w:rsidRPr="007A6BF8" w:rsidRDefault="007B2A3C" w:rsidP="00BB78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za plaće </w:t>
            </w:r>
            <w:r w:rsidR="009826E4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2026</w:t>
            </w:r>
            <w:r w:rsidR="00BB78C6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="007E1FF2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planirani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 </w:t>
            </w:r>
            <w:r w:rsidR="007E1FF2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osnovi ostvare</w:t>
            </w:r>
            <w:r w:rsidR="00BB78C6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</w:t>
            </w:r>
            <w:r w:rsidR="00C25A66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tekuće godine te su uvećani </w:t>
            </w:r>
            <w:r w:rsidR="009826E4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</w:t>
            </w:r>
            <w:r w:rsidR="00BB78C6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minuli rad.</w:t>
            </w:r>
            <w:r w:rsidR="00BB78C6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B49B5" w:rsidRPr="007A6BF8">
              <w:rPr>
                <w:rFonts w:ascii="Times New Roman" w:hAnsi="Times New Roman" w:cs="Times New Roman"/>
                <w:sz w:val="24"/>
                <w:szCs w:val="24"/>
              </w:rPr>
              <w:t>Od  ostalih  rashoda  za  zaposlene  planiran</w:t>
            </w:r>
            <w:r w:rsidR="00BB78C6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a je isplata dara djeci, božićnica, regres za zaposlene. </w:t>
            </w:r>
            <w:r w:rsidR="002B49B5" w:rsidRPr="007A6BF8">
              <w:rPr>
                <w:rFonts w:ascii="Times New Roman" w:hAnsi="Times New Roman" w:cs="Times New Roman"/>
                <w:sz w:val="24"/>
                <w:szCs w:val="24"/>
              </w:rPr>
              <w:t>Isplate jubilarnih nagrada ovise o broju zaposlenih koji navrše određene godine neprekidnog staža u javnim ustanovam</w:t>
            </w:r>
            <w:r w:rsidR="00BB78C6" w:rsidRPr="007A6BF8">
              <w:rPr>
                <w:rFonts w:ascii="Times New Roman" w:hAnsi="Times New Roman" w:cs="Times New Roman"/>
                <w:sz w:val="24"/>
                <w:szCs w:val="24"/>
              </w:rPr>
              <w:t>a potrebne za ugovorenu isplatu što je na taj način i planirano</w:t>
            </w:r>
            <w:r w:rsidR="009826E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u 2026</w:t>
            </w:r>
            <w:r w:rsidR="00BB78C6"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9B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Prijevoz  na posao i s posla planiran je u okvirim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ostvarenja  prethodne  godine</w:t>
            </w:r>
            <w:r w:rsidR="002B49B5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1FF2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Za troškove prehrane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planirano je 30.000,00 € za svaku godinu</w:t>
            </w:r>
            <w:r w:rsidR="007E1FF2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3F0504" w14:textId="196A6056" w:rsidR="009826E4" w:rsidRPr="007A6BF8" w:rsidRDefault="009826E4" w:rsidP="00BB78C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Za učeničku zadrugu planirano je 50,00 eura.</w:t>
            </w:r>
          </w:p>
          <w:p w14:paraId="0C2D0F32" w14:textId="1ED2B412" w:rsidR="009826E4" w:rsidRPr="003F5FC8" w:rsidRDefault="009826E4" w:rsidP="007B2A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Troškovi osiguranja učenika, izleta, terenskih nastava, ispita znanja i sl. pokrit će iz prihoda za posebne namjene, a koji se odnose na sufinanciranje roditelja. Ovi rashodi su </w:t>
            </w:r>
            <w:r w:rsidR="007B2A3C">
              <w:rPr>
                <w:rFonts w:ascii="Times New Roman" w:hAnsi="Times New Roman" w:cs="Times New Roman"/>
                <w:sz w:val="24"/>
                <w:szCs w:val="24"/>
              </w:rPr>
              <w:t>planirani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="007B2A3C">
              <w:rPr>
                <w:rFonts w:ascii="Times New Roman" w:hAnsi="Times New Roman" w:cs="Times New Roman"/>
                <w:sz w:val="24"/>
                <w:szCs w:val="24"/>
              </w:rPr>
              <w:t>iznosu od 3.450,00 €, kao i za sve tri godine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. Obzirom da su ova sredstva strogo namjenska, ona se u potpunosti i namjenski utroše.</w:t>
            </w:r>
          </w:p>
        </w:tc>
      </w:tr>
    </w:tbl>
    <w:p w14:paraId="1CBB514B" w14:textId="78CC0711" w:rsidR="001A1683" w:rsidRPr="007A6BF8" w:rsidRDefault="001A1683" w:rsidP="008D5D04">
      <w:pPr>
        <w:rPr>
          <w:rFonts w:ascii="Times New Roman" w:hAnsi="Times New Roman" w:cs="Times New Roman"/>
          <w:b/>
          <w:sz w:val="24"/>
          <w:szCs w:val="24"/>
        </w:rPr>
      </w:pPr>
    </w:p>
    <w:p w14:paraId="0BE61412" w14:textId="0F801CE7" w:rsidR="004B765D" w:rsidRDefault="0082181F" w:rsidP="004B765D">
      <w:pPr>
        <w:pStyle w:val="Odlomakpopisa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4B765D">
        <w:rPr>
          <w:rFonts w:ascii="Times New Roman" w:hAnsi="Times New Roman" w:cs="Times New Roman"/>
          <w:b/>
          <w:sz w:val="24"/>
          <w:szCs w:val="24"/>
        </w:rPr>
        <w:t>Daje se pregled financijskih sredstava po programima:</w:t>
      </w:r>
    </w:p>
    <w:p w14:paraId="40E1937F" w14:textId="77777777" w:rsidR="004B765D" w:rsidRPr="004B765D" w:rsidRDefault="004B765D" w:rsidP="004B765D">
      <w:pPr>
        <w:pStyle w:val="Odlomakpopisa"/>
        <w:ind w:left="18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373"/>
        <w:gridCol w:w="1604"/>
        <w:gridCol w:w="1417"/>
      </w:tblGrid>
      <w:tr w:rsidR="004B765D" w:rsidRPr="007A6BF8" w14:paraId="60E39A0A" w14:textId="77777777" w:rsidTr="004B765D">
        <w:trPr>
          <w:trHeight w:val="8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B495" w14:textId="77777777" w:rsidR="004B765D" w:rsidRPr="007A6BF8" w:rsidRDefault="004B765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7AE4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Proračun </w:t>
            </w:r>
          </w:p>
          <w:p w14:paraId="581F5099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A45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</w:t>
            </w:r>
          </w:p>
          <w:p w14:paraId="45B956FE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2483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B86A" w14:textId="77777777" w:rsidR="004B765D" w:rsidRPr="007A6BF8" w:rsidRDefault="004B765D" w:rsidP="00163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Projekcija 2028.</w:t>
            </w:r>
          </w:p>
        </w:tc>
      </w:tr>
      <w:tr w:rsidR="004B765D" w:rsidRPr="007A6BF8" w14:paraId="2BD08FC1" w14:textId="77777777" w:rsidTr="004B765D">
        <w:trPr>
          <w:trHeight w:val="1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6EBC" w14:textId="77777777" w:rsidR="004B765D" w:rsidRPr="004B765D" w:rsidRDefault="004B765D" w:rsidP="004B76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7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Program </w:t>
            </w:r>
          </w:p>
          <w:p w14:paraId="7FC80353" w14:textId="77777777" w:rsidR="004B765D" w:rsidRPr="004B765D" w:rsidRDefault="004B765D" w:rsidP="004B76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B7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Tekući izdaci – obrazovanje kultura i sport</w:t>
            </w:r>
          </w:p>
          <w:p w14:paraId="15582B72" w14:textId="71784FE5" w:rsidR="004B765D" w:rsidRPr="004B765D" w:rsidRDefault="004B765D" w:rsidP="004B76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7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Škole jednakih mogućnosti u MŽ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78BF" w14:textId="14A54CC3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39.519,00 €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2A67" w14:textId="01AD38BC" w:rsidR="004B765D" w:rsidRPr="007A6BF8" w:rsidRDefault="004B765D" w:rsidP="004B76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845E" w14:textId="16418B3A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DC08D" w14:textId="438AEE08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</w:tr>
      <w:tr w:rsidR="004B765D" w:rsidRPr="007A6BF8" w14:paraId="0105DF8A" w14:textId="77777777" w:rsidTr="004B765D">
        <w:trPr>
          <w:trHeight w:val="9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B13B" w14:textId="77777777" w:rsidR="004B765D" w:rsidRPr="007A6BF8" w:rsidRDefault="004B765D" w:rsidP="00163D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727A2" w14:textId="6673B19E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39.519,00 €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4DCA" w14:textId="24EA0D78" w:rsidR="004B765D" w:rsidRPr="007A6BF8" w:rsidRDefault="004B765D" w:rsidP="004B76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135A" w14:textId="41F82C9E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4C3BD" w14:textId="3DF1E1CF" w:rsidR="004B765D" w:rsidRPr="007A6BF8" w:rsidRDefault="004B765D" w:rsidP="004B76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41.895,00 €</w:t>
            </w:r>
          </w:p>
        </w:tc>
      </w:tr>
    </w:tbl>
    <w:p w14:paraId="0A8D1556" w14:textId="4AAA78E2" w:rsidR="00ED209D" w:rsidRPr="004B765D" w:rsidRDefault="00ED209D" w:rsidP="004B7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D209D" w:rsidRPr="007A6BF8" w14:paraId="01DBE904" w14:textId="77777777" w:rsidTr="009E2346">
        <w:trPr>
          <w:trHeight w:val="26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EC53"/>
            <w:noWrap/>
            <w:hideMark/>
          </w:tcPr>
          <w:p w14:paraId="56AB25FB" w14:textId="77777777" w:rsidR="008229E2" w:rsidRDefault="00A0437C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  <w:t>PROGRAM</w:t>
            </w:r>
            <w:r w:rsidR="00ED209D"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  <w:t>:</w:t>
            </w:r>
            <w:r w:rsidR="00822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  <w:t xml:space="preserve"> TEKUĆI IZDACI – OBRAZOVANJE, KULTURA I SPORT</w:t>
            </w:r>
          </w:p>
          <w:p w14:paraId="3F536C4C" w14:textId="0A28B4C2" w:rsidR="00ED209D" w:rsidRPr="008229E2" w:rsidRDefault="00ED209D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0A008B" w:rsidRPr="007A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Pomoćnici u nastavi-</w:t>
            </w:r>
            <w:r w:rsidR="00A7311C" w:rsidRPr="007A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 „Škole jednakih mogućnosti u Međimurskoj župan</w:t>
            </w:r>
            <w:r w:rsidR="00350E71" w:rsidRPr="007A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iji </w:t>
            </w:r>
            <w:r w:rsidR="00A7311C" w:rsidRPr="007A6B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“</w:t>
            </w:r>
          </w:p>
          <w:p w14:paraId="5B4F0767" w14:textId="2A6B774C" w:rsidR="00350E71" w:rsidRPr="007A6BF8" w:rsidRDefault="00350E71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prihodi i primici 2026 (izvor 111001), iz državnog proračuna 2026  kroz nacionalno sufinanciranje EU projekta (izvor 50121101) i Europski socijalni fond plus 2026 (</w:t>
            </w:r>
            <w:r w:rsidR="008229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izvor </w:t>
            </w:r>
            <w:r w:rsidRPr="007A6B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5610010)</w:t>
            </w:r>
          </w:p>
        </w:tc>
      </w:tr>
      <w:tr w:rsidR="00ED209D" w:rsidRPr="007A6BF8" w14:paraId="3944D022" w14:textId="77777777" w:rsidTr="004B765D">
        <w:trPr>
          <w:trHeight w:val="57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2EC6" w14:textId="77777777" w:rsidR="00A0437C" w:rsidRDefault="00ED209D" w:rsidP="008218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</w:t>
            </w:r>
            <w:r w:rsidR="00613B3B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rama: </w:t>
            </w:r>
          </w:p>
          <w:p w14:paraId="6C86F5D3" w14:textId="085C75E8" w:rsidR="0082181F" w:rsidRPr="007A6BF8" w:rsidRDefault="00613B3B" w:rsidP="008218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Ovaj program je financiran iz sredstava pomoći proračunskim korisnicima temeljem prijenosa EU sredstav</w:t>
            </w:r>
            <w:r w:rsidR="00A0437C">
              <w:rPr>
                <w:rFonts w:ascii="Times New Roman" w:hAnsi="Times New Roman" w:cs="Times New Roman"/>
                <w:sz w:val="24"/>
                <w:szCs w:val="24"/>
              </w:rPr>
              <w:t xml:space="preserve">a, a za koji sredstva doznačuje 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Međimurska županija. 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>Preko ovog projekta p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redviđ</w:t>
            </w:r>
            <w:r w:rsidR="00C32F3E" w:rsidRPr="007A6BF8">
              <w:rPr>
                <w:rFonts w:ascii="Times New Roman" w:hAnsi="Times New Roman" w:cs="Times New Roman"/>
                <w:sz w:val="24"/>
                <w:szCs w:val="24"/>
              </w:rPr>
              <w:t>ena su tri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pomoćnik</w:t>
            </w:r>
            <w:r w:rsidR="00C32F3E" w:rsidRPr="007A6B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u nastavi u našoj Školi.</w:t>
            </w:r>
          </w:p>
          <w:p w14:paraId="7AC5399D" w14:textId="77777777" w:rsidR="00350E71" w:rsidRPr="007A6BF8" w:rsidRDefault="0082181F" w:rsidP="008218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13B3B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kupno dobivena sredstva od Međimurske županije dijele </w:t>
            </w:r>
            <w:r w:rsidR="00350E71" w:rsidRPr="007A6BF8">
              <w:rPr>
                <w:rFonts w:ascii="Times New Roman" w:hAnsi="Times New Roman" w:cs="Times New Roman"/>
                <w:sz w:val="24"/>
                <w:szCs w:val="24"/>
              </w:rPr>
              <w:t>se: 10% i 90%.</w:t>
            </w:r>
          </w:p>
          <w:p w14:paraId="6DEF2FBC" w14:textId="72F7BA9A" w:rsidR="00350E71" w:rsidRPr="007A6BF8" w:rsidRDefault="00350E71" w:rsidP="008218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10 % na 671, izvor financiranja 11, </w:t>
            </w:r>
          </w:p>
          <w:p w14:paraId="1091826A" w14:textId="6F0EF25C" w:rsidR="00ED209D" w:rsidRPr="007A6BF8" w:rsidRDefault="00613B3B" w:rsidP="00122FD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 w:rsidR="0082181F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E71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dijelimo </w:t>
            </w:r>
            <w:r w:rsidR="00A0437C">
              <w:rPr>
                <w:rFonts w:ascii="Times New Roman" w:hAnsi="Times New Roman" w:cs="Times New Roman"/>
                <w:sz w:val="24"/>
                <w:szCs w:val="24"/>
              </w:rPr>
              <w:t xml:space="preserve">na 85% Europski socijalni fond i </w:t>
            </w:r>
            <w:r w:rsidR="00350E71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15% Nacionalno sufinanciranje za EU projekte - </w:t>
            </w:r>
            <w:r w:rsidR="00122FD0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izvor financiranja 50 i 56 na 671 </w:t>
            </w:r>
          </w:p>
        </w:tc>
      </w:tr>
      <w:tr w:rsidR="00ED209D" w:rsidRPr="007A6BF8" w14:paraId="28F97F47" w14:textId="77777777" w:rsidTr="004B765D">
        <w:trPr>
          <w:trHeight w:val="5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D37BD" w14:textId="126E089D" w:rsidR="00ED209D" w:rsidRPr="007A6BF8" w:rsidRDefault="00ED209D" w:rsidP="007E34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</w:t>
            </w:r>
            <w:r w:rsidR="006033BB"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ovedbe programa u razdoblju 2026.-2028</w:t>
            </w:r>
            <w:r w:rsidRPr="007A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2A388B1" w14:textId="77777777" w:rsidR="00A0437C" w:rsidRDefault="00613B3B" w:rsidP="00A04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2F3E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Škole jednakih mogućnosti u</w:t>
            </w:r>
            <w:r w:rsidR="00A0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Međimurskoj županiji</w:t>
            </w:r>
            <w:r w:rsidR="00C32F3E" w:rsidRPr="007A6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– ukupno dobivena sredstva od Međim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urske županije dijele </w:t>
            </w:r>
            <w:r w:rsidR="00A0437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>u omjeru  1</w:t>
            </w:r>
            <w:r w:rsidRPr="007A6BF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, 90 %.</w:t>
            </w:r>
            <w:r w:rsidR="0082181F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F040F9" w14:textId="7BB287FF" w:rsidR="00ED209D" w:rsidRPr="007A6BF8" w:rsidRDefault="00A0437C" w:rsidP="00A04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Planirani su isti iznosi i za </w:t>
            </w:r>
            <w:r w:rsidR="002B706A" w:rsidRPr="007A6BF8">
              <w:rPr>
                <w:rFonts w:ascii="Times New Roman" w:hAnsi="Times New Roman" w:cs="Times New Roman"/>
                <w:sz w:val="24"/>
                <w:szCs w:val="24"/>
              </w:rPr>
              <w:t>projekcije, jer su uče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>nici koji imaju pomoćnike u 2025./2026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školskoj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upisali</w:t>
            </w:r>
            <w:r w:rsidR="008D5D04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>treći,</w:t>
            </w:r>
            <w:r w:rsidR="002B706A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četvrti</w:t>
            </w:r>
            <w:r w:rsidR="0082181F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3BB" w:rsidRPr="007A6BF8">
              <w:rPr>
                <w:rFonts w:ascii="Times New Roman" w:hAnsi="Times New Roman" w:cs="Times New Roman"/>
                <w:sz w:val="24"/>
                <w:szCs w:val="24"/>
              </w:rPr>
              <w:t xml:space="preserve">i peti </w:t>
            </w:r>
            <w:r w:rsidR="0082181F" w:rsidRPr="007A6BF8">
              <w:rPr>
                <w:rFonts w:ascii="Times New Roman" w:hAnsi="Times New Roman" w:cs="Times New Roman"/>
                <w:sz w:val="24"/>
                <w:szCs w:val="24"/>
              </w:rPr>
              <w:t>razred.</w:t>
            </w:r>
          </w:p>
        </w:tc>
      </w:tr>
    </w:tbl>
    <w:p w14:paraId="39D52A6C" w14:textId="6C8DCC00" w:rsidR="00613B3B" w:rsidRDefault="00613B3B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81503" w14:textId="4125AF65" w:rsidR="004B765D" w:rsidRDefault="004B765D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C68E41" w14:textId="0E65EE7A" w:rsidR="004B765D" w:rsidRDefault="004B765D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A7DA2" w14:textId="66C18A02" w:rsidR="004B765D" w:rsidRDefault="004B765D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5E99" w14:textId="77777777" w:rsidR="00A0437C" w:rsidRDefault="00A0437C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E18C80" w14:textId="77777777" w:rsidR="004B765D" w:rsidRPr="007A6BF8" w:rsidRDefault="004B765D" w:rsidP="007E3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61A1CC" w14:textId="10BC4B5D" w:rsidR="00300B0C" w:rsidRPr="007A6BF8" w:rsidRDefault="00907786" w:rsidP="00D11FC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6BF8">
        <w:rPr>
          <w:rFonts w:ascii="Times New Roman" w:hAnsi="Times New Roman" w:cs="Times New Roman"/>
          <w:b/>
          <w:sz w:val="24"/>
          <w:szCs w:val="24"/>
        </w:rPr>
        <w:t>4.</w:t>
      </w:r>
      <w:r w:rsidR="00EE01FE" w:rsidRPr="007A6BF8">
        <w:rPr>
          <w:rFonts w:ascii="Times New Roman" w:hAnsi="Times New Roman" w:cs="Times New Roman"/>
          <w:b/>
          <w:sz w:val="24"/>
          <w:szCs w:val="24"/>
        </w:rPr>
        <w:t xml:space="preserve"> Pokazatelji rezultata i uspješnosti programa i aktivnosti Osnovne škole Gornji </w:t>
      </w:r>
      <w:proofErr w:type="spellStart"/>
      <w:r w:rsidR="00EE01FE" w:rsidRPr="007A6BF8">
        <w:rPr>
          <w:rFonts w:ascii="Times New Roman" w:hAnsi="Times New Roman" w:cs="Times New Roman"/>
          <w:b/>
          <w:sz w:val="24"/>
          <w:szCs w:val="24"/>
        </w:rPr>
        <w:t>Mihaljevec</w:t>
      </w:r>
      <w:proofErr w:type="spellEnd"/>
    </w:p>
    <w:p w14:paraId="5088D3BE" w14:textId="2BA28740" w:rsidR="00EE01FE" w:rsidRPr="007A6BF8" w:rsidRDefault="00EE01FE" w:rsidP="000C2796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>Konačnu ocjenu usp</w:t>
      </w:r>
      <w:r w:rsidR="00A0437C">
        <w:rPr>
          <w:rFonts w:ascii="Times New Roman" w:hAnsi="Times New Roman" w:cs="Times New Roman"/>
          <w:sz w:val="24"/>
          <w:szCs w:val="24"/>
        </w:rPr>
        <w:t>ješnosti</w:t>
      </w:r>
      <w:r w:rsidRPr="007A6BF8">
        <w:rPr>
          <w:rFonts w:ascii="Times New Roman" w:hAnsi="Times New Roman" w:cs="Times New Roman"/>
          <w:sz w:val="24"/>
          <w:szCs w:val="24"/>
        </w:rPr>
        <w:t xml:space="preserve"> je teško donijeti jer ne postoje usporedni i objektivni podaci i to posebno o uspjehu učenika u daljnjem školovanju. Usporedbe s postotkom odličnih učenika u drugim školama pokazuje da je postotak odličnih učenika u našoj školi nešto niži. Osobito je to uočljivo u završnim razredima. S druge strane dostupne informacije o kvaliteti i uspjehu naših učenika koje dobivamo iz srednjih škola navode na zaključak o dobrim postignućima naših učenika</w:t>
      </w:r>
      <w:r w:rsidR="00C443B7" w:rsidRPr="007A6BF8">
        <w:rPr>
          <w:rFonts w:ascii="Times New Roman" w:hAnsi="Times New Roman" w:cs="Times New Roman"/>
          <w:sz w:val="24"/>
          <w:szCs w:val="24"/>
        </w:rPr>
        <w:t xml:space="preserve">, </w:t>
      </w:r>
      <w:r w:rsidR="00C443B7" w:rsidRPr="007A6BF8">
        <w:rPr>
          <w:rFonts w:ascii="Times New Roman" w:hAnsi="Times New Roman" w:cs="Times New Roman"/>
          <w:color w:val="000000" w:themeColor="text1"/>
          <w:sz w:val="24"/>
          <w:szCs w:val="24"/>
        </w:rPr>
        <w:t>kao i rezultatima vanjskog vrednovanja koje provodi NCVVO.</w:t>
      </w:r>
      <w:r w:rsidR="00C375CB" w:rsidRPr="007A6BF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Veliki broj učenika nagrađen je za uspješnost u raznim područjima (natjecanjima, učenju i zastupanju škole).  Osim na natjecanjima, učenici naše škole sudjelovali su i na mnogim državnim i međunarodnim natječajima, smotrama gdje su osvojili vrijedn</w:t>
      </w:r>
      <w:r w:rsidR="00534F78">
        <w:rPr>
          <w:rFonts w:ascii="Times New Roman" w:hAnsi="Times New Roman" w:cs="Times New Roman"/>
          <w:sz w:val="24"/>
          <w:szCs w:val="24"/>
        </w:rPr>
        <w:t>e nagrada i priznanja</w:t>
      </w:r>
      <w:r w:rsidRPr="007A6BF8">
        <w:rPr>
          <w:rFonts w:ascii="Times New Roman" w:hAnsi="Times New Roman" w:cs="Times New Roman"/>
          <w:sz w:val="24"/>
          <w:szCs w:val="24"/>
        </w:rPr>
        <w:t xml:space="preserve"> (smotre učeničkih zadruga, filmski festivali, likovne i literarne smotre</w:t>
      </w:r>
      <w:r w:rsidR="00534F78">
        <w:rPr>
          <w:rFonts w:ascii="Times New Roman" w:hAnsi="Times New Roman" w:cs="Times New Roman"/>
          <w:sz w:val="24"/>
          <w:szCs w:val="24"/>
        </w:rPr>
        <w:t>)</w:t>
      </w:r>
      <w:r w:rsidR="00C375CB" w:rsidRPr="007A6BF8">
        <w:rPr>
          <w:rFonts w:ascii="Times New Roman" w:hAnsi="Times New Roman" w:cs="Times New Roman"/>
          <w:sz w:val="24"/>
          <w:szCs w:val="24"/>
        </w:rPr>
        <w:t xml:space="preserve">. </w:t>
      </w:r>
      <w:r w:rsidRPr="007A6BF8">
        <w:rPr>
          <w:rFonts w:ascii="Times New Roman" w:hAnsi="Times New Roman" w:cs="Times New Roman"/>
          <w:sz w:val="24"/>
          <w:szCs w:val="24"/>
        </w:rPr>
        <w:t>U području potpore učenicima s poteškoćama u učenju, programski sadržaji realizirani su kroz održavanje dopunske nastave, prilagođene i individualne programe za  učenike.</w:t>
      </w:r>
      <w:r w:rsidR="00C375CB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>Opremanje škole nastavnim pomagalima do sada je realizirano iz materijalnih sredstava i donacija.  Jedan od važnijih pokazatelja uspješnog i kvalitetnog rada naše Škole je upis i uspješno završavanje učenika u željene srednje škole.</w:t>
      </w:r>
    </w:p>
    <w:p w14:paraId="51D92FD4" w14:textId="5C9C21D0" w:rsidR="00CE4A35" w:rsidRPr="007A6BF8" w:rsidRDefault="00C67ABF" w:rsidP="005D1A76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Izvještaj o problemima vezanim uz osiguranje prostora za odvijanje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jednosmjenske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 nastave i nastave TZK</w:t>
      </w:r>
      <w:r w:rsidR="008206A3" w:rsidRPr="007A6BF8">
        <w:rPr>
          <w:rFonts w:ascii="Times New Roman" w:hAnsi="Times New Roman" w:cs="Times New Roman"/>
          <w:sz w:val="24"/>
          <w:szCs w:val="24"/>
        </w:rPr>
        <w:t>-a</w:t>
      </w:r>
      <w:r w:rsidR="00C375CB" w:rsidRPr="007A6BF8">
        <w:rPr>
          <w:rFonts w:ascii="Times New Roman" w:hAnsi="Times New Roman" w:cs="Times New Roman"/>
          <w:sz w:val="24"/>
          <w:szCs w:val="24"/>
        </w:rPr>
        <w:t xml:space="preserve">. </w:t>
      </w:r>
      <w:r w:rsidRPr="007A6BF8">
        <w:rPr>
          <w:rFonts w:ascii="Times New Roman" w:hAnsi="Times New Roman" w:cs="Times New Roman"/>
          <w:sz w:val="24"/>
          <w:szCs w:val="24"/>
        </w:rPr>
        <w:t xml:space="preserve">U zgradi OŠ Gornji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 pet je klasičnih učionica za predmetnu i razrednu nastavu, jedna specijaliziranu učionicu informatike i jedna djelomično specijalizirana učionica za nastavu kemije, biologije i glazbene kulture, tako da je postojeći prostor ispunjen u oba turnusa. U školi nema kabinete ni drugih pratećih prostorija. Nastava TZK-e izvodi se u maloj dvorani koja se nalazi</w:t>
      </w:r>
      <w:r w:rsidR="00834FBA" w:rsidRPr="007A6BF8">
        <w:rPr>
          <w:rFonts w:ascii="Times New Roman" w:hAnsi="Times New Roman" w:cs="Times New Roman"/>
          <w:sz w:val="24"/>
          <w:szCs w:val="24"/>
        </w:rPr>
        <w:t xml:space="preserve"> u podrumskom dijelu zgrade i u</w:t>
      </w:r>
      <w:r w:rsidRPr="007A6BF8">
        <w:rPr>
          <w:rFonts w:ascii="Times New Roman" w:hAnsi="Times New Roman" w:cs="Times New Roman"/>
          <w:sz w:val="24"/>
          <w:szCs w:val="24"/>
        </w:rPr>
        <w:t xml:space="preserve"> dvorani Društvenog doma. Škola nema sportskih igrališta, već se nastava TZK</w:t>
      </w:r>
      <w:r w:rsidR="008206A3" w:rsidRPr="007A6BF8">
        <w:rPr>
          <w:rFonts w:ascii="Times New Roman" w:hAnsi="Times New Roman" w:cs="Times New Roman"/>
          <w:sz w:val="24"/>
          <w:szCs w:val="24"/>
        </w:rPr>
        <w:t>-a</w:t>
      </w:r>
      <w:r w:rsidRPr="007A6BF8">
        <w:rPr>
          <w:rFonts w:ascii="Times New Roman" w:hAnsi="Times New Roman" w:cs="Times New Roman"/>
          <w:sz w:val="24"/>
          <w:szCs w:val="24"/>
        </w:rPr>
        <w:t xml:space="preserve"> od</w:t>
      </w:r>
      <w:r w:rsidR="008206A3" w:rsidRPr="007A6BF8">
        <w:rPr>
          <w:rFonts w:ascii="Times New Roman" w:hAnsi="Times New Roman" w:cs="Times New Roman"/>
          <w:sz w:val="24"/>
          <w:szCs w:val="24"/>
        </w:rPr>
        <w:t xml:space="preserve">ržava na sportskim terenima Parka </w:t>
      </w:r>
      <w:r w:rsidRPr="007A6BF8">
        <w:rPr>
          <w:rFonts w:ascii="Times New Roman" w:hAnsi="Times New Roman" w:cs="Times New Roman"/>
          <w:sz w:val="24"/>
          <w:szCs w:val="24"/>
        </w:rPr>
        <w:t>Mladost</w:t>
      </w:r>
      <w:r w:rsidR="008206A3" w:rsidRPr="007A6BF8">
        <w:rPr>
          <w:rFonts w:ascii="Times New Roman" w:hAnsi="Times New Roman" w:cs="Times New Roman"/>
          <w:sz w:val="24"/>
          <w:szCs w:val="24"/>
        </w:rPr>
        <w:t>i</w:t>
      </w:r>
      <w:r w:rsidRPr="007A6BF8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Mihaljevec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>.</w:t>
      </w:r>
      <w:r w:rsidRPr="007A6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6BF8">
        <w:rPr>
          <w:rFonts w:ascii="Times New Roman" w:hAnsi="Times New Roman" w:cs="Times New Roman"/>
          <w:sz w:val="24"/>
          <w:szCs w:val="24"/>
        </w:rPr>
        <w:t xml:space="preserve">Roditelji učenika razredne nastave zainteresirani su za produženi boravak djece u školi, ali zbog nedostatka prostora nije moguće to u školi organizirati. Potrebno je stvoriti uvjete za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jednosmjenski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 rad i produženi boravak dogradnjom postojeće zgrade, a za održavanje nastave TZK</w:t>
      </w:r>
      <w:r w:rsidR="008206A3" w:rsidRPr="007A6BF8">
        <w:rPr>
          <w:rFonts w:ascii="Times New Roman" w:hAnsi="Times New Roman" w:cs="Times New Roman"/>
          <w:sz w:val="24"/>
          <w:szCs w:val="24"/>
        </w:rPr>
        <w:t>-a</w:t>
      </w:r>
      <w:r w:rsidRPr="007A6BF8">
        <w:rPr>
          <w:rFonts w:ascii="Times New Roman" w:hAnsi="Times New Roman" w:cs="Times New Roman"/>
          <w:sz w:val="24"/>
          <w:szCs w:val="24"/>
        </w:rPr>
        <w:t xml:space="preserve">  potrebna je izgradnja sportske dvorane u sklopu škole.</w:t>
      </w:r>
    </w:p>
    <w:p w14:paraId="764C1B72" w14:textId="0FE91C64" w:rsidR="00C67ABF" w:rsidRPr="007A6BF8" w:rsidRDefault="00C67ABF" w:rsidP="000C2796">
      <w:pPr>
        <w:rPr>
          <w:rFonts w:ascii="Times New Roman" w:hAnsi="Times New Roman" w:cs="Times New Roman"/>
          <w:sz w:val="24"/>
          <w:szCs w:val="24"/>
        </w:rPr>
      </w:pPr>
    </w:p>
    <w:p w14:paraId="60C5CC44" w14:textId="77777777" w:rsidR="00C67ABF" w:rsidRPr="007A6BF8" w:rsidRDefault="00C67ABF" w:rsidP="000C2796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  Predsjednica Školskog odbora:</w:t>
      </w:r>
      <w:r w:rsidRPr="007A6BF8">
        <w:rPr>
          <w:rFonts w:ascii="Times New Roman" w:hAnsi="Times New Roman" w:cs="Times New Roman"/>
          <w:sz w:val="24"/>
          <w:szCs w:val="24"/>
        </w:rPr>
        <w:tab/>
      </w:r>
      <w:r w:rsidRPr="007A6BF8">
        <w:rPr>
          <w:rFonts w:ascii="Times New Roman" w:hAnsi="Times New Roman" w:cs="Times New Roman"/>
          <w:sz w:val="24"/>
          <w:szCs w:val="24"/>
        </w:rPr>
        <w:tab/>
      </w:r>
      <w:r w:rsidRPr="007A6BF8">
        <w:rPr>
          <w:rFonts w:ascii="Times New Roman" w:hAnsi="Times New Roman" w:cs="Times New Roman"/>
          <w:sz w:val="24"/>
          <w:szCs w:val="24"/>
        </w:rPr>
        <w:tab/>
      </w:r>
      <w:r w:rsidRPr="007A6B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0B0C" w:rsidRPr="007A6B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A6BF8">
        <w:rPr>
          <w:rFonts w:ascii="Times New Roman" w:hAnsi="Times New Roman" w:cs="Times New Roman"/>
          <w:sz w:val="24"/>
          <w:szCs w:val="24"/>
        </w:rPr>
        <w:t xml:space="preserve"> Ravnateljica</w:t>
      </w:r>
      <w:r w:rsidR="00300B0C" w:rsidRPr="007A6BF8">
        <w:rPr>
          <w:rFonts w:ascii="Times New Roman" w:hAnsi="Times New Roman" w:cs="Times New Roman"/>
          <w:sz w:val="24"/>
          <w:szCs w:val="24"/>
        </w:rPr>
        <w:t xml:space="preserve"> škole</w:t>
      </w:r>
      <w:r w:rsidRPr="007A6BF8">
        <w:rPr>
          <w:rFonts w:ascii="Times New Roman" w:hAnsi="Times New Roman" w:cs="Times New Roman"/>
          <w:sz w:val="24"/>
          <w:szCs w:val="24"/>
        </w:rPr>
        <w:t>:</w:t>
      </w:r>
    </w:p>
    <w:p w14:paraId="16F09CA2" w14:textId="6F987F46" w:rsidR="00300B0C" w:rsidRPr="007A6BF8" w:rsidRDefault="00300B0C" w:rsidP="000C2796">
      <w:pPr>
        <w:rPr>
          <w:rFonts w:ascii="Times New Roman" w:hAnsi="Times New Roman" w:cs="Times New Roman"/>
          <w:sz w:val="24"/>
          <w:szCs w:val="24"/>
        </w:rPr>
      </w:pPr>
      <w:r w:rsidRPr="007A6BF8">
        <w:rPr>
          <w:rFonts w:ascii="Times New Roman" w:hAnsi="Times New Roman" w:cs="Times New Roman"/>
          <w:sz w:val="24"/>
          <w:szCs w:val="24"/>
        </w:rPr>
        <w:t xml:space="preserve">  </w:t>
      </w:r>
      <w:r w:rsidR="00C67ABF" w:rsidRPr="007A6BF8">
        <w:rPr>
          <w:rFonts w:ascii="Times New Roman" w:hAnsi="Times New Roman" w:cs="Times New Roman"/>
          <w:sz w:val="24"/>
          <w:szCs w:val="24"/>
        </w:rPr>
        <w:t>Sil</w:t>
      </w:r>
      <w:r w:rsidRPr="007A6BF8">
        <w:rPr>
          <w:rFonts w:ascii="Times New Roman" w:hAnsi="Times New Roman" w:cs="Times New Roman"/>
          <w:sz w:val="24"/>
          <w:szCs w:val="24"/>
        </w:rPr>
        <w:t xml:space="preserve">vija Soldat,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>.</w:t>
      </w:r>
      <w:r w:rsidR="00C67ABF" w:rsidRPr="007A6BF8">
        <w:rPr>
          <w:rFonts w:ascii="Times New Roman" w:hAnsi="Times New Roman" w:cs="Times New Roman"/>
          <w:sz w:val="24"/>
          <w:szCs w:val="24"/>
        </w:rPr>
        <w:t xml:space="preserve"> </w:t>
      </w:r>
      <w:r w:rsidR="00C67ABF" w:rsidRPr="007A6BF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7A6B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67ABF" w:rsidRPr="007A6BF8">
        <w:rPr>
          <w:rFonts w:ascii="Times New Roman" w:hAnsi="Times New Roman" w:cs="Times New Roman"/>
          <w:sz w:val="24"/>
          <w:szCs w:val="24"/>
        </w:rPr>
        <w:t xml:space="preserve">Karmen </w:t>
      </w:r>
      <w:proofErr w:type="spellStart"/>
      <w:r w:rsidR="00C67ABF" w:rsidRPr="007A6BF8">
        <w:rPr>
          <w:rFonts w:ascii="Times New Roman" w:hAnsi="Times New Roman" w:cs="Times New Roman"/>
          <w:sz w:val="24"/>
          <w:szCs w:val="24"/>
        </w:rPr>
        <w:t>Skle</w:t>
      </w:r>
      <w:r w:rsidRPr="007A6BF8">
        <w:rPr>
          <w:rFonts w:ascii="Times New Roman" w:hAnsi="Times New Roman" w:cs="Times New Roman"/>
          <w:sz w:val="24"/>
          <w:szCs w:val="24"/>
        </w:rPr>
        <w:t>pić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6BF8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7A6BF8">
        <w:rPr>
          <w:rFonts w:ascii="Times New Roman" w:hAnsi="Times New Roman" w:cs="Times New Roman"/>
          <w:sz w:val="24"/>
          <w:szCs w:val="24"/>
        </w:rPr>
        <w:t>.</w:t>
      </w:r>
    </w:p>
    <w:sectPr w:rsidR="00300B0C" w:rsidRPr="007A6BF8" w:rsidSect="003E2D5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CC88F" w14:textId="77777777" w:rsidR="00196FAB" w:rsidRDefault="00196FAB" w:rsidP="00277E5E">
      <w:pPr>
        <w:spacing w:after="0" w:line="240" w:lineRule="auto"/>
      </w:pPr>
      <w:r>
        <w:separator/>
      </w:r>
    </w:p>
  </w:endnote>
  <w:endnote w:type="continuationSeparator" w:id="0">
    <w:p w14:paraId="7482A49F" w14:textId="77777777" w:rsidR="00196FAB" w:rsidRDefault="00196FAB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571890"/>
      <w:docPartObj>
        <w:docPartGallery w:val="Page Numbers (Bottom of Page)"/>
        <w:docPartUnique/>
      </w:docPartObj>
    </w:sdtPr>
    <w:sdtEndPr/>
    <w:sdtContent>
      <w:p w14:paraId="1A5739AB" w14:textId="77777777" w:rsidR="00163DCA" w:rsidRDefault="00163DCA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55996D32" wp14:editId="79FF065B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F11DB6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1F4C10D7" w14:textId="14FBF47C" w:rsidR="00163DCA" w:rsidRDefault="00163DCA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3233E">
          <w:rPr>
            <w:noProof/>
          </w:rPr>
          <w:t>6</w:t>
        </w:r>
        <w:r>
          <w:fldChar w:fldCharType="end"/>
        </w:r>
      </w:p>
    </w:sdtContent>
  </w:sdt>
  <w:p w14:paraId="442ED907" w14:textId="77777777" w:rsidR="00163DCA" w:rsidRDefault="00163D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CCAF" w14:textId="77777777" w:rsidR="00196FAB" w:rsidRDefault="00196FAB" w:rsidP="00277E5E">
      <w:pPr>
        <w:spacing w:after="0" w:line="240" w:lineRule="auto"/>
      </w:pPr>
      <w:r>
        <w:separator/>
      </w:r>
    </w:p>
  </w:footnote>
  <w:footnote w:type="continuationSeparator" w:id="0">
    <w:p w14:paraId="072B65B4" w14:textId="77777777" w:rsidR="00196FAB" w:rsidRDefault="00196FAB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A9"/>
    <w:multiLevelType w:val="hybridMultilevel"/>
    <w:tmpl w:val="C18253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78"/>
    <w:multiLevelType w:val="hybridMultilevel"/>
    <w:tmpl w:val="95CA09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A5EB5"/>
    <w:multiLevelType w:val="hybridMultilevel"/>
    <w:tmpl w:val="50368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2499"/>
    <w:multiLevelType w:val="hybridMultilevel"/>
    <w:tmpl w:val="62CA5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3CB9"/>
    <w:multiLevelType w:val="hybridMultilevel"/>
    <w:tmpl w:val="7682E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19E1"/>
    <w:multiLevelType w:val="hybridMultilevel"/>
    <w:tmpl w:val="28107A88"/>
    <w:lvl w:ilvl="0" w:tplc="134EE1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6A565B"/>
    <w:multiLevelType w:val="hybridMultilevel"/>
    <w:tmpl w:val="63DA2910"/>
    <w:lvl w:ilvl="0" w:tplc="30DA7DE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0F66"/>
    <w:multiLevelType w:val="hybridMultilevel"/>
    <w:tmpl w:val="B3EAC9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0646A"/>
    <w:multiLevelType w:val="hybridMultilevel"/>
    <w:tmpl w:val="52981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43686"/>
    <w:multiLevelType w:val="hybridMultilevel"/>
    <w:tmpl w:val="636C8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A03BB"/>
    <w:multiLevelType w:val="hybridMultilevel"/>
    <w:tmpl w:val="FC3E8E72"/>
    <w:lvl w:ilvl="0" w:tplc="F104E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03E38"/>
    <w:multiLevelType w:val="hybridMultilevel"/>
    <w:tmpl w:val="5A76BA44"/>
    <w:lvl w:ilvl="0" w:tplc="5E2C3F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2B4599"/>
    <w:multiLevelType w:val="hybridMultilevel"/>
    <w:tmpl w:val="1200E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E540E"/>
    <w:multiLevelType w:val="hybridMultilevel"/>
    <w:tmpl w:val="98FCA44C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8C27043"/>
    <w:multiLevelType w:val="multilevel"/>
    <w:tmpl w:val="2E90B6D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3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469B"/>
    <w:multiLevelType w:val="hybridMultilevel"/>
    <w:tmpl w:val="8CEA6C00"/>
    <w:lvl w:ilvl="0" w:tplc="26C82102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30A4"/>
    <w:multiLevelType w:val="hybridMultilevel"/>
    <w:tmpl w:val="EDF4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8"/>
  </w:num>
  <w:num w:numId="5">
    <w:abstractNumId w:val="22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2"/>
  </w:num>
  <w:num w:numId="15">
    <w:abstractNumId w:val="6"/>
  </w:num>
  <w:num w:numId="16">
    <w:abstractNumId w:val="1"/>
  </w:num>
  <w:num w:numId="17">
    <w:abstractNumId w:val="7"/>
  </w:num>
  <w:num w:numId="18">
    <w:abstractNumId w:val="4"/>
  </w:num>
  <w:num w:numId="19">
    <w:abstractNumId w:val="21"/>
  </w:num>
  <w:num w:numId="20">
    <w:abstractNumId w:val="0"/>
  </w:num>
  <w:num w:numId="21">
    <w:abstractNumId w:val="9"/>
  </w:num>
  <w:num w:numId="22">
    <w:abstractNumId w:val="19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5C"/>
    <w:rsid w:val="0000561C"/>
    <w:rsid w:val="00005846"/>
    <w:rsid w:val="0003233E"/>
    <w:rsid w:val="00042407"/>
    <w:rsid w:val="0004398F"/>
    <w:rsid w:val="00044A21"/>
    <w:rsid w:val="00047ED3"/>
    <w:rsid w:val="00067AE9"/>
    <w:rsid w:val="00070BE4"/>
    <w:rsid w:val="00073A71"/>
    <w:rsid w:val="00081C3D"/>
    <w:rsid w:val="0008459A"/>
    <w:rsid w:val="00086E31"/>
    <w:rsid w:val="000A008B"/>
    <w:rsid w:val="000B4AFB"/>
    <w:rsid w:val="000C2796"/>
    <w:rsid w:val="000C6247"/>
    <w:rsid w:val="000D0E98"/>
    <w:rsid w:val="000E1CEC"/>
    <w:rsid w:val="000F1580"/>
    <w:rsid w:val="00105BEC"/>
    <w:rsid w:val="00115596"/>
    <w:rsid w:val="001171CD"/>
    <w:rsid w:val="00122FD0"/>
    <w:rsid w:val="00147912"/>
    <w:rsid w:val="001562CF"/>
    <w:rsid w:val="00163DCA"/>
    <w:rsid w:val="00185C3D"/>
    <w:rsid w:val="0019269B"/>
    <w:rsid w:val="00196FAB"/>
    <w:rsid w:val="001A1683"/>
    <w:rsid w:val="001A3861"/>
    <w:rsid w:val="001B7B72"/>
    <w:rsid w:val="001D6B46"/>
    <w:rsid w:val="001E4A1E"/>
    <w:rsid w:val="001F3286"/>
    <w:rsid w:val="0021208D"/>
    <w:rsid w:val="00224DD9"/>
    <w:rsid w:val="002436A9"/>
    <w:rsid w:val="00277E5E"/>
    <w:rsid w:val="0028643D"/>
    <w:rsid w:val="002908D9"/>
    <w:rsid w:val="00293FA0"/>
    <w:rsid w:val="00294F36"/>
    <w:rsid w:val="002A2647"/>
    <w:rsid w:val="002A667F"/>
    <w:rsid w:val="002B49B5"/>
    <w:rsid w:val="002B6B97"/>
    <w:rsid w:val="002B706A"/>
    <w:rsid w:val="002C64F6"/>
    <w:rsid w:val="002E25A9"/>
    <w:rsid w:val="002F7429"/>
    <w:rsid w:val="00300B0C"/>
    <w:rsid w:val="00310F29"/>
    <w:rsid w:val="00321C76"/>
    <w:rsid w:val="00335362"/>
    <w:rsid w:val="00350E71"/>
    <w:rsid w:val="00372035"/>
    <w:rsid w:val="0039729E"/>
    <w:rsid w:val="003B6516"/>
    <w:rsid w:val="003C46AB"/>
    <w:rsid w:val="003D3D05"/>
    <w:rsid w:val="003E0A9E"/>
    <w:rsid w:val="003E2D5C"/>
    <w:rsid w:val="003E501E"/>
    <w:rsid w:val="003E77C2"/>
    <w:rsid w:val="003F0B08"/>
    <w:rsid w:val="003F160D"/>
    <w:rsid w:val="003F5FC8"/>
    <w:rsid w:val="003F6177"/>
    <w:rsid w:val="0040070B"/>
    <w:rsid w:val="004135E4"/>
    <w:rsid w:val="00416D82"/>
    <w:rsid w:val="004221B9"/>
    <w:rsid w:val="00423B87"/>
    <w:rsid w:val="00434AAF"/>
    <w:rsid w:val="00447AD8"/>
    <w:rsid w:val="00454F8B"/>
    <w:rsid w:val="004565B3"/>
    <w:rsid w:val="00465C22"/>
    <w:rsid w:val="00465DE4"/>
    <w:rsid w:val="0046778C"/>
    <w:rsid w:val="004B765D"/>
    <w:rsid w:val="004C6B18"/>
    <w:rsid w:val="004D7E2D"/>
    <w:rsid w:val="004E0FA2"/>
    <w:rsid w:val="004F045E"/>
    <w:rsid w:val="004F186B"/>
    <w:rsid w:val="005040E5"/>
    <w:rsid w:val="00516198"/>
    <w:rsid w:val="0052166D"/>
    <w:rsid w:val="00534F78"/>
    <w:rsid w:val="00552EDE"/>
    <w:rsid w:val="005658FA"/>
    <w:rsid w:val="0056597A"/>
    <w:rsid w:val="0056700B"/>
    <w:rsid w:val="005745FD"/>
    <w:rsid w:val="005B01AB"/>
    <w:rsid w:val="005C063A"/>
    <w:rsid w:val="005C2299"/>
    <w:rsid w:val="005C3BC3"/>
    <w:rsid w:val="005D1A76"/>
    <w:rsid w:val="005E3EFB"/>
    <w:rsid w:val="006033BB"/>
    <w:rsid w:val="00613650"/>
    <w:rsid w:val="00613B3B"/>
    <w:rsid w:val="00614DBB"/>
    <w:rsid w:val="0062335B"/>
    <w:rsid w:val="00641406"/>
    <w:rsid w:val="00655AFD"/>
    <w:rsid w:val="00660E7B"/>
    <w:rsid w:val="00667E4F"/>
    <w:rsid w:val="00680694"/>
    <w:rsid w:val="006868AB"/>
    <w:rsid w:val="00687762"/>
    <w:rsid w:val="006B5CCE"/>
    <w:rsid w:val="006C2F5A"/>
    <w:rsid w:val="00733F50"/>
    <w:rsid w:val="00791821"/>
    <w:rsid w:val="007A07AC"/>
    <w:rsid w:val="007A370F"/>
    <w:rsid w:val="007A6BF8"/>
    <w:rsid w:val="007B112B"/>
    <w:rsid w:val="007B2A3C"/>
    <w:rsid w:val="007B6299"/>
    <w:rsid w:val="007B669F"/>
    <w:rsid w:val="007E1FF2"/>
    <w:rsid w:val="007E2DD3"/>
    <w:rsid w:val="007E3461"/>
    <w:rsid w:val="007F16F9"/>
    <w:rsid w:val="007F1DE8"/>
    <w:rsid w:val="007F6BE2"/>
    <w:rsid w:val="00803E04"/>
    <w:rsid w:val="0080514A"/>
    <w:rsid w:val="008128D1"/>
    <w:rsid w:val="008203AE"/>
    <w:rsid w:val="008206A3"/>
    <w:rsid w:val="0082181F"/>
    <w:rsid w:val="008229E2"/>
    <w:rsid w:val="00834C75"/>
    <w:rsid w:val="00834FBA"/>
    <w:rsid w:val="00836C31"/>
    <w:rsid w:val="00847ACE"/>
    <w:rsid w:val="0085376A"/>
    <w:rsid w:val="00857480"/>
    <w:rsid w:val="00876D4C"/>
    <w:rsid w:val="00892643"/>
    <w:rsid w:val="008B0BC6"/>
    <w:rsid w:val="008D5D04"/>
    <w:rsid w:val="008E1380"/>
    <w:rsid w:val="00907786"/>
    <w:rsid w:val="009356A7"/>
    <w:rsid w:val="0094009E"/>
    <w:rsid w:val="009400E6"/>
    <w:rsid w:val="00953228"/>
    <w:rsid w:val="009559C8"/>
    <w:rsid w:val="009634F2"/>
    <w:rsid w:val="0097531E"/>
    <w:rsid w:val="009826E4"/>
    <w:rsid w:val="009D02DB"/>
    <w:rsid w:val="009E2346"/>
    <w:rsid w:val="009E7DDE"/>
    <w:rsid w:val="009F33B8"/>
    <w:rsid w:val="009F36BF"/>
    <w:rsid w:val="00A0437C"/>
    <w:rsid w:val="00A0673E"/>
    <w:rsid w:val="00A12D2E"/>
    <w:rsid w:val="00A445E2"/>
    <w:rsid w:val="00A4709C"/>
    <w:rsid w:val="00A47B1E"/>
    <w:rsid w:val="00A647F9"/>
    <w:rsid w:val="00A7311C"/>
    <w:rsid w:val="00A820D3"/>
    <w:rsid w:val="00A83F80"/>
    <w:rsid w:val="00A8606D"/>
    <w:rsid w:val="00AA4144"/>
    <w:rsid w:val="00AC113D"/>
    <w:rsid w:val="00AC25C8"/>
    <w:rsid w:val="00AC5F38"/>
    <w:rsid w:val="00AD67AE"/>
    <w:rsid w:val="00AD6ECB"/>
    <w:rsid w:val="00B02815"/>
    <w:rsid w:val="00B22969"/>
    <w:rsid w:val="00B278F4"/>
    <w:rsid w:val="00B4110B"/>
    <w:rsid w:val="00B47083"/>
    <w:rsid w:val="00B63784"/>
    <w:rsid w:val="00B86181"/>
    <w:rsid w:val="00B97958"/>
    <w:rsid w:val="00BB12DE"/>
    <w:rsid w:val="00BB3253"/>
    <w:rsid w:val="00BB78C6"/>
    <w:rsid w:val="00BC1FAB"/>
    <w:rsid w:val="00BC55FD"/>
    <w:rsid w:val="00BC5EB9"/>
    <w:rsid w:val="00BD5248"/>
    <w:rsid w:val="00C25A66"/>
    <w:rsid w:val="00C32F3E"/>
    <w:rsid w:val="00C375CB"/>
    <w:rsid w:val="00C443B7"/>
    <w:rsid w:val="00C44F72"/>
    <w:rsid w:val="00C65A76"/>
    <w:rsid w:val="00C67ABF"/>
    <w:rsid w:val="00C708FF"/>
    <w:rsid w:val="00CA25A8"/>
    <w:rsid w:val="00CB11B4"/>
    <w:rsid w:val="00CD68DB"/>
    <w:rsid w:val="00CE4A35"/>
    <w:rsid w:val="00D11FC3"/>
    <w:rsid w:val="00D36D14"/>
    <w:rsid w:val="00D738A5"/>
    <w:rsid w:val="00D84369"/>
    <w:rsid w:val="00D905CA"/>
    <w:rsid w:val="00DA487B"/>
    <w:rsid w:val="00DA4A06"/>
    <w:rsid w:val="00DC1124"/>
    <w:rsid w:val="00DC3656"/>
    <w:rsid w:val="00DC3D78"/>
    <w:rsid w:val="00DC69A2"/>
    <w:rsid w:val="00DE4B88"/>
    <w:rsid w:val="00E41E1A"/>
    <w:rsid w:val="00E47FAD"/>
    <w:rsid w:val="00E66E81"/>
    <w:rsid w:val="00E813E7"/>
    <w:rsid w:val="00EB17D7"/>
    <w:rsid w:val="00EC71DC"/>
    <w:rsid w:val="00ED209D"/>
    <w:rsid w:val="00ED6792"/>
    <w:rsid w:val="00ED7083"/>
    <w:rsid w:val="00EE01FE"/>
    <w:rsid w:val="00EF0754"/>
    <w:rsid w:val="00F03268"/>
    <w:rsid w:val="00F04287"/>
    <w:rsid w:val="00F13CE6"/>
    <w:rsid w:val="00F146BD"/>
    <w:rsid w:val="00F31687"/>
    <w:rsid w:val="00F72F50"/>
    <w:rsid w:val="00F90D0D"/>
    <w:rsid w:val="00F92D0A"/>
    <w:rsid w:val="00FC31DB"/>
    <w:rsid w:val="00FD5A63"/>
    <w:rsid w:val="00FE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06692"/>
  <w15:docId w15:val="{967B3825-7897-40CE-BD3E-EE3305E0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E7"/>
  </w:style>
  <w:style w:type="paragraph" w:styleId="Naslov1">
    <w:name w:val="heading 1"/>
    <w:basedOn w:val="Normal"/>
    <w:next w:val="Normal"/>
    <w:link w:val="Naslov1Char"/>
    <w:uiPriority w:val="9"/>
    <w:qFormat/>
    <w:rsid w:val="00147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479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479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687762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Bezproreda">
    <w:name w:val="No Spacing"/>
    <w:uiPriority w:val="1"/>
    <w:qFormat/>
    <w:rsid w:val="00687762"/>
    <w:pPr>
      <w:spacing w:after="0" w:line="240" w:lineRule="auto"/>
    </w:pPr>
    <w:rPr>
      <w:rFonts w:ascii="Arial" w:eastAsia="Calibri" w:hAnsi="Arial" w:cs="Arial"/>
    </w:rPr>
  </w:style>
  <w:style w:type="character" w:customStyle="1" w:styleId="Naslov1Char">
    <w:name w:val="Naslov 1 Char"/>
    <w:basedOn w:val="Zadanifontodlomka"/>
    <w:link w:val="Naslov1"/>
    <w:uiPriority w:val="9"/>
    <w:rsid w:val="00147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479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479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2513-94DB-47A8-98FA-AD2234DD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Tajništvo</cp:lastModifiedBy>
  <cp:revision>60</cp:revision>
  <cp:lastPrinted>2016-10-07T11:41:00Z</cp:lastPrinted>
  <dcterms:created xsi:type="dcterms:W3CDTF">2023-10-23T05:26:00Z</dcterms:created>
  <dcterms:modified xsi:type="dcterms:W3CDTF">2025-11-10T13:26:00Z</dcterms:modified>
</cp:coreProperties>
</file>